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8B65C9">
      <w:pPr>
        <w:adjustRightInd w:val="0"/>
        <w:snapToGrid w:val="0"/>
        <w:spacing w:line="240" w:lineRule="auto"/>
        <w:jc w:val="left"/>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附件5</w:t>
      </w:r>
    </w:p>
    <w:p w14:paraId="043F33E8">
      <w:pPr>
        <w:adjustRightInd w:val="0"/>
        <w:snapToGrid w:val="0"/>
        <w:spacing w:line="240" w:lineRule="auto"/>
        <w:jc w:val="center"/>
        <w:rPr>
          <w:rFonts w:eastAsia="黑体" w:cs="Times New Roman"/>
          <w:kern w:val="0"/>
          <w:sz w:val="36"/>
          <w:szCs w:val="24"/>
        </w:rPr>
      </w:pPr>
    </w:p>
    <w:p w14:paraId="5FF5DE7D">
      <w:pPr>
        <w:adjustRightInd w:val="0"/>
        <w:snapToGrid w:val="0"/>
        <w:spacing w:line="240" w:lineRule="auto"/>
        <w:jc w:val="center"/>
        <w:rPr>
          <w:rFonts w:eastAsia="黑体" w:cs="Times New Roman"/>
          <w:kern w:val="0"/>
          <w:sz w:val="36"/>
          <w:szCs w:val="24"/>
        </w:rPr>
      </w:pPr>
    </w:p>
    <w:p w14:paraId="0774FD4E">
      <w:pPr>
        <w:adjustRightInd w:val="0"/>
        <w:snapToGrid w:val="0"/>
        <w:spacing w:line="240" w:lineRule="auto"/>
        <w:jc w:val="center"/>
        <w:rPr>
          <w:rFonts w:eastAsia="黑体" w:cs="Times New Roman"/>
          <w:kern w:val="0"/>
          <w:sz w:val="36"/>
          <w:szCs w:val="24"/>
        </w:rPr>
      </w:pPr>
    </w:p>
    <w:p w14:paraId="7731E709">
      <w:pPr>
        <w:adjustRightInd w:val="0"/>
        <w:snapToGrid w:val="0"/>
        <w:spacing w:line="240" w:lineRule="auto"/>
        <w:jc w:val="center"/>
        <w:rPr>
          <w:rFonts w:eastAsia="黑体" w:cs="Times New Roman"/>
          <w:kern w:val="0"/>
          <w:sz w:val="36"/>
          <w:szCs w:val="24"/>
        </w:rPr>
      </w:pPr>
    </w:p>
    <w:p w14:paraId="60F7AB84">
      <w:pPr>
        <w:adjustRightInd w:val="0"/>
        <w:snapToGrid w:val="0"/>
        <w:spacing w:before="326" w:beforeLines="100" w:line="240" w:lineRule="auto"/>
        <w:jc w:val="center"/>
        <w:rPr>
          <w:rFonts w:hint="default" w:eastAsia="黑体" w:cs="Times New Roman"/>
          <w:kern w:val="0"/>
          <w:sz w:val="40"/>
          <w:szCs w:val="24"/>
          <w:lang w:val="en-US" w:eastAsia="zh-CN"/>
        </w:rPr>
      </w:pPr>
      <w:r>
        <w:rPr>
          <w:rFonts w:hint="eastAsia" w:eastAsia="黑体" w:cs="Times New Roman"/>
          <w:kern w:val="0"/>
          <w:sz w:val="40"/>
          <w:szCs w:val="24"/>
          <w:lang w:val="en-US" w:eastAsia="zh-CN"/>
        </w:rPr>
        <w:t xml:space="preserve">T/CHNAW </w:t>
      </w:r>
      <w:r>
        <w:rPr>
          <w:rFonts w:hint="eastAsia" w:eastAsia="黑体" w:cs="Times New Roman"/>
          <w:kern w:val="0"/>
          <w:sz w:val="40"/>
          <w:szCs w:val="24"/>
          <w:lang w:val="en-US" w:eastAsia="zh-CN"/>
        </w:rPr>
        <w:fldChar w:fldCharType="begin">
          <w:ffData>
            <w:name w:val="NSTD_CODE_F"/>
            <w:enabled/>
            <w:calcOnExit w:val="0"/>
            <w:textInput>
              <w:default w:val="XXXX"/>
            </w:textInput>
          </w:ffData>
        </w:fldChar>
      </w:r>
      <w:bookmarkStart w:id="0" w:name="NSTD_CODE_F"/>
      <w:r>
        <w:rPr>
          <w:rFonts w:hint="eastAsia" w:eastAsia="黑体" w:cs="Times New Roman"/>
          <w:kern w:val="0"/>
          <w:sz w:val="40"/>
          <w:szCs w:val="24"/>
          <w:lang w:val="en-US" w:eastAsia="zh-CN"/>
        </w:rPr>
        <w:instrText xml:space="preserve"> FORMTEXT </w:instrText>
      </w:r>
      <w:r>
        <w:rPr>
          <w:rFonts w:hint="eastAsia" w:eastAsia="黑体" w:cs="Times New Roman"/>
          <w:kern w:val="0"/>
          <w:sz w:val="40"/>
          <w:szCs w:val="24"/>
          <w:lang w:val="en-US" w:eastAsia="zh-CN"/>
        </w:rPr>
        <w:fldChar w:fldCharType="separate"/>
      </w:r>
      <w:r>
        <w:rPr>
          <w:rFonts w:hint="eastAsia" w:eastAsia="黑体" w:cs="Times New Roman"/>
          <w:kern w:val="0"/>
          <w:sz w:val="40"/>
          <w:szCs w:val="24"/>
          <w:lang w:val="en-US" w:eastAsia="zh-CN"/>
        </w:rPr>
        <w:t>XXXX</w:t>
      </w:r>
      <w:r>
        <w:rPr>
          <w:rFonts w:hint="eastAsia" w:eastAsia="黑体" w:cs="Times New Roman"/>
          <w:kern w:val="0"/>
          <w:sz w:val="40"/>
          <w:szCs w:val="24"/>
          <w:lang w:val="en-US" w:eastAsia="zh-CN"/>
        </w:rPr>
        <w:fldChar w:fldCharType="end"/>
      </w:r>
      <w:bookmarkEnd w:id="0"/>
      <w:r>
        <w:rPr>
          <w:rFonts w:hint="eastAsia" w:eastAsia="黑体" w:cs="Times New Roman"/>
          <w:kern w:val="0"/>
          <w:sz w:val="40"/>
          <w:szCs w:val="24"/>
          <w:lang w:val="en-US" w:eastAsia="zh-CN"/>
        </w:rPr>
        <w:t>—2026</w:t>
      </w:r>
    </w:p>
    <w:p w14:paraId="6FC3F059">
      <w:pPr>
        <w:adjustRightInd w:val="0"/>
        <w:snapToGrid w:val="0"/>
        <w:spacing w:before="326" w:beforeLines="100" w:line="240" w:lineRule="auto"/>
        <w:jc w:val="center"/>
        <w:rPr>
          <w:rFonts w:eastAsia="黑体" w:cs="Times New Roman"/>
          <w:kern w:val="0"/>
          <w:sz w:val="40"/>
          <w:szCs w:val="24"/>
        </w:rPr>
      </w:pPr>
      <w:r>
        <w:rPr>
          <w:rFonts w:hint="eastAsia" w:eastAsia="黑体" w:cs="Times New Roman"/>
          <w:kern w:val="0"/>
          <w:sz w:val="40"/>
          <w:szCs w:val="24"/>
          <w:lang w:val="en-US" w:eastAsia="zh-CN"/>
        </w:rPr>
        <w:t>教室室内</w:t>
      </w:r>
      <w:r>
        <w:rPr>
          <w:rFonts w:hint="eastAsia" w:eastAsia="黑体" w:cs="Times New Roman"/>
          <w:kern w:val="0"/>
          <w:sz w:val="40"/>
          <w:szCs w:val="24"/>
        </w:rPr>
        <w:t>空气病原体现场智能采样技术指南</w:t>
      </w:r>
      <w:bookmarkStart w:id="266" w:name="_GoBack"/>
      <w:bookmarkEnd w:id="266"/>
    </w:p>
    <w:p w14:paraId="39249630">
      <w:pPr>
        <w:adjustRightInd w:val="0"/>
        <w:snapToGrid w:val="0"/>
        <w:spacing w:line="240" w:lineRule="auto"/>
        <w:jc w:val="center"/>
        <w:rPr>
          <w:rFonts w:eastAsia="黑体" w:cs="Times New Roman"/>
          <w:kern w:val="0"/>
          <w:sz w:val="36"/>
          <w:szCs w:val="24"/>
        </w:rPr>
      </w:pPr>
    </w:p>
    <w:p w14:paraId="4473838B">
      <w:pPr>
        <w:adjustRightInd w:val="0"/>
        <w:snapToGrid w:val="0"/>
        <w:spacing w:line="240" w:lineRule="auto"/>
        <w:jc w:val="center"/>
        <w:rPr>
          <w:rFonts w:eastAsia="黑体" w:cs="Times New Roman"/>
          <w:kern w:val="0"/>
          <w:sz w:val="32"/>
          <w:szCs w:val="24"/>
        </w:rPr>
      </w:pPr>
      <w:r>
        <w:rPr>
          <w:rFonts w:hint="eastAsia" w:eastAsia="黑体" w:cs="Times New Roman"/>
          <w:kern w:val="0"/>
          <w:sz w:val="32"/>
          <w:szCs w:val="24"/>
        </w:rPr>
        <w:t>编制说明</w:t>
      </w:r>
    </w:p>
    <w:p w14:paraId="14ED84A3">
      <w:pPr>
        <w:spacing w:line="480" w:lineRule="auto"/>
        <w:jc w:val="center"/>
        <w:rPr>
          <w:rFonts w:eastAsia="黑体" w:cs="Times New Roman"/>
          <w:sz w:val="28"/>
          <w:szCs w:val="21"/>
          <w:lang w:val="zh-CN"/>
        </w:rPr>
      </w:pPr>
    </w:p>
    <w:p w14:paraId="29D9D7EE">
      <w:pPr>
        <w:spacing w:line="480" w:lineRule="auto"/>
        <w:jc w:val="center"/>
        <w:rPr>
          <w:rFonts w:eastAsia="黑体" w:cs="Times New Roman"/>
          <w:sz w:val="28"/>
          <w:szCs w:val="21"/>
          <w:lang w:val="zh-CN"/>
        </w:rPr>
      </w:pPr>
    </w:p>
    <w:p w14:paraId="5AE164D5">
      <w:pPr>
        <w:spacing w:line="480" w:lineRule="auto"/>
        <w:jc w:val="center"/>
        <w:rPr>
          <w:rFonts w:eastAsia="黑体" w:cs="Times New Roman"/>
          <w:sz w:val="28"/>
          <w:szCs w:val="21"/>
          <w:lang w:val="zh-CN"/>
        </w:rPr>
      </w:pPr>
    </w:p>
    <w:p w14:paraId="4E01B29D">
      <w:pPr>
        <w:spacing w:line="480" w:lineRule="auto"/>
        <w:jc w:val="center"/>
        <w:rPr>
          <w:rFonts w:eastAsia="黑体" w:cs="Times New Roman"/>
          <w:sz w:val="28"/>
          <w:szCs w:val="21"/>
          <w:lang w:val="zh-CN"/>
        </w:rPr>
      </w:pPr>
    </w:p>
    <w:p w14:paraId="78549E96">
      <w:pPr>
        <w:spacing w:line="480" w:lineRule="auto"/>
        <w:jc w:val="center"/>
        <w:rPr>
          <w:rFonts w:eastAsia="黑体" w:cs="Times New Roman"/>
          <w:sz w:val="28"/>
          <w:szCs w:val="21"/>
          <w:lang w:val="zh-CN"/>
        </w:rPr>
      </w:pPr>
    </w:p>
    <w:p w14:paraId="65FF208D">
      <w:pPr>
        <w:spacing w:line="480" w:lineRule="auto"/>
        <w:jc w:val="center"/>
        <w:rPr>
          <w:rFonts w:eastAsia="黑体" w:cs="Times New Roman"/>
          <w:sz w:val="28"/>
          <w:szCs w:val="21"/>
          <w:lang w:val="zh-CN"/>
        </w:rPr>
      </w:pPr>
    </w:p>
    <w:p w14:paraId="04CF5AEF">
      <w:pPr>
        <w:spacing w:line="480" w:lineRule="auto"/>
        <w:jc w:val="center"/>
        <w:rPr>
          <w:rFonts w:eastAsia="黑体" w:cs="Times New Roman"/>
          <w:sz w:val="28"/>
          <w:szCs w:val="21"/>
          <w:lang w:val="zh-CN"/>
        </w:rPr>
      </w:pPr>
    </w:p>
    <w:p w14:paraId="3BB2CF8D">
      <w:pPr>
        <w:spacing w:line="480" w:lineRule="auto"/>
        <w:jc w:val="center"/>
        <w:rPr>
          <w:rFonts w:eastAsia="黑体" w:cs="Times New Roman"/>
          <w:sz w:val="28"/>
          <w:szCs w:val="21"/>
          <w:lang w:val="zh-CN"/>
        </w:rPr>
      </w:pPr>
    </w:p>
    <w:p w14:paraId="4E501132">
      <w:pPr>
        <w:spacing w:line="480" w:lineRule="auto"/>
        <w:jc w:val="center"/>
        <w:rPr>
          <w:rFonts w:eastAsia="黑体" w:cs="Times New Roman"/>
          <w:sz w:val="28"/>
          <w:szCs w:val="21"/>
          <w:lang w:val="zh-CN"/>
        </w:rPr>
      </w:pPr>
    </w:p>
    <w:p w14:paraId="73000F3D">
      <w:pPr>
        <w:spacing w:line="480" w:lineRule="auto"/>
        <w:jc w:val="center"/>
        <w:rPr>
          <w:rFonts w:eastAsia="楷体" w:cs="Times New Roman"/>
          <w:sz w:val="28"/>
          <w:szCs w:val="21"/>
          <w:lang w:val="zh-CN"/>
        </w:rPr>
      </w:pPr>
    </w:p>
    <w:p w14:paraId="37DA276B">
      <w:pPr>
        <w:spacing w:line="480" w:lineRule="auto"/>
        <w:jc w:val="center"/>
        <w:rPr>
          <w:rFonts w:eastAsia="楷体" w:cs="Times New Roman"/>
          <w:sz w:val="28"/>
          <w:szCs w:val="21"/>
          <w:lang w:val="zh-CN"/>
        </w:rPr>
      </w:pPr>
    </w:p>
    <w:p w14:paraId="27F61127">
      <w:pPr>
        <w:adjustRightInd w:val="0"/>
        <w:snapToGrid w:val="0"/>
        <w:spacing w:line="240" w:lineRule="auto"/>
        <w:ind w:left="1423" w:right="1419"/>
        <w:jc w:val="center"/>
        <w:rPr>
          <w:rFonts w:eastAsia="楷体" w:cs="Times New Roman"/>
          <w:sz w:val="28"/>
          <w:szCs w:val="21"/>
          <w:lang w:val="zh-CN"/>
        </w:rPr>
      </w:pPr>
      <w:r>
        <w:rPr>
          <w:rFonts w:hint="eastAsia" w:eastAsia="楷体" w:cs="Times New Roman"/>
          <w:b/>
          <w:bCs/>
          <w:sz w:val="28"/>
          <w:szCs w:val="28"/>
        </w:rPr>
        <w:t>标准编制组</w:t>
      </w:r>
    </w:p>
    <w:p w14:paraId="3EEF3533">
      <w:pPr>
        <w:jc w:val="center"/>
        <w:rPr>
          <w:rFonts w:eastAsia="楷体" w:cs="Times New Roman"/>
          <w:sz w:val="28"/>
          <w:szCs w:val="21"/>
          <w:lang w:val="zh-CN"/>
        </w:rPr>
      </w:pPr>
      <w:r>
        <w:rPr>
          <w:rFonts w:hint="eastAsia" w:eastAsia="楷体" w:cs="Times New Roman"/>
          <w:sz w:val="28"/>
          <w:szCs w:val="21"/>
          <w:lang w:val="zh-CN"/>
        </w:rPr>
        <w:t>二〇二</w:t>
      </w:r>
      <w:r>
        <w:rPr>
          <w:rFonts w:hint="eastAsia" w:eastAsia="楷体" w:cs="Times New Roman"/>
          <w:sz w:val="28"/>
          <w:szCs w:val="21"/>
        </w:rPr>
        <w:t>六</w:t>
      </w:r>
      <w:r>
        <w:rPr>
          <w:rFonts w:hint="eastAsia" w:eastAsia="楷体" w:cs="Times New Roman"/>
          <w:sz w:val="28"/>
          <w:szCs w:val="21"/>
          <w:lang w:val="zh-CN"/>
        </w:rPr>
        <w:t>年</w:t>
      </w:r>
      <w:r>
        <w:rPr>
          <w:rFonts w:hint="eastAsia" w:eastAsia="楷体" w:cs="Times New Roman"/>
          <w:sz w:val="28"/>
          <w:szCs w:val="21"/>
          <w:lang w:val="en-US" w:eastAsia="zh-CN"/>
        </w:rPr>
        <w:t>三</w:t>
      </w:r>
      <w:r>
        <w:rPr>
          <w:rFonts w:hint="eastAsia" w:eastAsia="楷体" w:cs="Times New Roman"/>
          <w:sz w:val="28"/>
          <w:szCs w:val="21"/>
          <w:lang w:val="zh-CN"/>
        </w:rPr>
        <w:t>月</w:t>
      </w:r>
    </w:p>
    <w:p w14:paraId="321FDE1F">
      <w:pPr>
        <w:jc w:val="center"/>
        <w:rPr>
          <w:rFonts w:eastAsia="楷体" w:cs="Times New Roman"/>
          <w:sz w:val="28"/>
          <w:szCs w:val="21"/>
          <w:lang w:val="zh-CN"/>
        </w:rPr>
        <w:sectPr>
          <w:headerReference r:id="rId5" w:type="default"/>
          <w:footerReference r:id="rId6" w:type="default"/>
          <w:type w:val="continuous"/>
          <w:pgSz w:w="11906" w:h="16838"/>
          <w:pgMar w:top="1440" w:right="1800" w:bottom="1440" w:left="1800" w:header="851" w:footer="992" w:gutter="0"/>
          <w:cols w:space="425" w:num="1"/>
          <w:docGrid w:type="lines" w:linePitch="326" w:charSpace="0"/>
        </w:sectPr>
      </w:pPr>
    </w:p>
    <w:p w14:paraId="0E73FC84">
      <w:pPr>
        <w:jc w:val="center"/>
        <w:rPr>
          <w:rFonts w:eastAsia="楷体" w:cs="Times New Roman"/>
          <w:sz w:val="28"/>
          <w:szCs w:val="21"/>
          <w:lang w:val="zh-CN"/>
        </w:rPr>
      </w:pPr>
    </w:p>
    <w:sdt>
      <w:sdtPr>
        <w:rPr>
          <w:rFonts w:ascii="Times New Roman" w:hAnsi="Times New Roman" w:eastAsia="宋体" w:cs="Times New Roman"/>
          <w:sz w:val="21"/>
        </w:rPr>
        <w:id w:val="147483200"/>
        <w15:color w:val="DBDBDB"/>
        <w:docPartObj>
          <w:docPartGallery w:val="Table of Contents"/>
          <w:docPartUnique/>
        </w:docPartObj>
      </w:sdtPr>
      <w:sdtEndPr>
        <w:rPr>
          <w:rFonts w:ascii="Times New Roman" w:hAnsi="Times New Roman" w:eastAsia="宋体" w:cs="Times New Roman"/>
          <w:sz w:val="24"/>
          <w:szCs w:val="20"/>
          <w:lang w:val="zh-CN"/>
        </w:rPr>
      </w:sdtEndPr>
      <w:sdtContent>
        <w:p w14:paraId="195EB6F9">
          <w:pPr>
            <w:spacing w:line="240" w:lineRule="auto"/>
            <w:jc w:val="center"/>
            <w:rPr>
              <w:rFonts w:ascii="Times New Roman" w:hAnsi="Times New Roman" w:eastAsia="宋体" w:cs="Times New Roman"/>
              <w:b/>
              <w:bCs/>
              <w:szCs w:val="24"/>
            </w:rPr>
          </w:pPr>
          <w:r>
            <w:rPr>
              <w:rFonts w:ascii="Times New Roman" w:hAnsi="Times New Roman" w:eastAsia="宋体" w:cs="Times New Roman"/>
              <w:b/>
              <w:bCs/>
              <w:szCs w:val="24"/>
            </w:rPr>
            <w:t>目 录</w:t>
          </w:r>
        </w:p>
        <w:p w14:paraId="4766E7E9">
          <w:pPr>
            <w:spacing w:line="240" w:lineRule="auto"/>
            <w:jc w:val="center"/>
            <w:rPr>
              <w:rFonts w:ascii="Times New Roman" w:hAnsi="Times New Roman" w:eastAsia="宋体" w:cs="Times New Roman"/>
              <w:b/>
              <w:bCs/>
              <w:szCs w:val="24"/>
            </w:rPr>
          </w:pPr>
        </w:p>
        <w:p w14:paraId="2BA884CC">
          <w:pPr>
            <w:pStyle w:val="18"/>
            <w:tabs>
              <w:tab w:val="right" w:leader="dot" w:pos="8306"/>
            </w:tabs>
          </w:pPr>
          <w:r>
            <w:rPr>
              <w:rFonts w:eastAsia="宋体" w:cs="Times New Roman"/>
              <w:szCs w:val="21"/>
              <w:lang w:val="zh-CN"/>
            </w:rPr>
            <w:fldChar w:fldCharType="begin"/>
          </w:r>
          <w:r>
            <w:rPr>
              <w:rFonts w:eastAsia="宋体" w:cs="Times New Roman"/>
              <w:szCs w:val="21"/>
              <w:lang w:val="zh-CN"/>
            </w:rPr>
            <w:instrText xml:space="preserve">TOC \o "1-3" \h \u </w:instrText>
          </w:r>
          <w:r>
            <w:rPr>
              <w:rFonts w:eastAsia="宋体" w:cs="Times New Roman"/>
              <w:szCs w:val="21"/>
              <w:lang w:val="zh-CN"/>
            </w:rPr>
            <w:fldChar w:fldCharType="separate"/>
          </w:r>
          <w:r>
            <w:rPr>
              <w:rFonts w:eastAsia="宋体" w:cs="Times New Roman"/>
              <w:szCs w:val="21"/>
              <w:lang w:val="zh-CN"/>
            </w:rPr>
            <w:fldChar w:fldCharType="begin"/>
          </w:r>
          <w:r>
            <w:rPr>
              <w:rFonts w:eastAsia="宋体" w:cs="Times New Roman"/>
              <w:szCs w:val="21"/>
              <w:lang w:val="zh-CN"/>
            </w:rPr>
            <w:instrText xml:space="preserve"> HYPERLINK \l _Toc11216 </w:instrText>
          </w:r>
          <w:r>
            <w:rPr>
              <w:rFonts w:eastAsia="宋体" w:cs="Times New Roman"/>
              <w:szCs w:val="21"/>
              <w:lang w:val="zh-CN"/>
            </w:rPr>
            <w:fldChar w:fldCharType="separate"/>
          </w:r>
          <w:r>
            <w:rPr>
              <w:rFonts w:hint="eastAsia"/>
            </w:rPr>
            <w:t>一、工作简况</w:t>
          </w:r>
          <w:r>
            <w:tab/>
          </w:r>
          <w:r>
            <w:fldChar w:fldCharType="begin"/>
          </w:r>
          <w:r>
            <w:instrText xml:space="preserve"> PAGEREF _Toc11216 \h </w:instrText>
          </w:r>
          <w:r>
            <w:fldChar w:fldCharType="separate"/>
          </w:r>
          <w:r>
            <w:t>1</w:t>
          </w:r>
          <w:r>
            <w:fldChar w:fldCharType="end"/>
          </w:r>
          <w:r>
            <w:rPr>
              <w:rFonts w:eastAsia="宋体" w:cs="Times New Roman"/>
              <w:szCs w:val="21"/>
              <w:lang w:val="zh-CN"/>
            </w:rPr>
            <w:fldChar w:fldCharType="end"/>
          </w:r>
        </w:p>
        <w:p w14:paraId="47B4EDFD">
          <w:pPr>
            <w:pStyle w:val="22"/>
            <w:tabs>
              <w:tab w:val="right" w:leader="dot" w:pos="8306"/>
            </w:tabs>
          </w:pPr>
          <w:r>
            <w:rPr>
              <w:rFonts w:eastAsia="宋体" w:cs="Times New Roman"/>
              <w:szCs w:val="21"/>
              <w:lang w:val="zh-CN"/>
            </w:rPr>
            <w:fldChar w:fldCharType="begin"/>
          </w:r>
          <w:r>
            <w:rPr>
              <w:rFonts w:eastAsia="宋体" w:cs="Times New Roman"/>
              <w:szCs w:val="21"/>
              <w:lang w:val="zh-CN"/>
            </w:rPr>
            <w:instrText xml:space="preserve"> HYPERLINK \l _Toc14007 </w:instrText>
          </w:r>
          <w:r>
            <w:rPr>
              <w:rFonts w:eastAsia="宋体" w:cs="Times New Roman"/>
              <w:szCs w:val="21"/>
              <w:lang w:val="zh-CN"/>
            </w:rPr>
            <w:fldChar w:fldCharType="separate"/>
          </w:r>
          <w:r>
            <w:rPr>
              <w:rFonts w:hint="default" w:cs="Times New Roman"/>
            </w:rPr>
            <w:t>（一）任务来源</w:t>
          </w:r>
          <w:r>
            <w:rPr>
              <w:rFonts w:hint="default" w:cs="Times New Roman"/>
              <w:lang w:val="en-US" w:eastAsia="zh-CN"/>
            </w:rPr>
            <w:t>与项目编号</w:t>
          </w:r>
          <w:r>
            <w:tab/>
          </w:r>
          <w:r>
            <w:fldChar w:fldCharType="begin"/>
          </w:r>
          <w:r>
            <w:instrText xml:space="preserve"> PAGEREF _Toc14007 \h </w:instrText>
          </w:r>
          <w:r>
            <w:fldChar w:fldCharType="separate"/>
          </w:r>
          <w:r>
            <w:t>1</w:t>
          </w:r>
          <w:r>
            <w:fldChar w:fldCharType="end"/>
          </w:r>
          <w:r>
            <w:rPr>
              <w:rFonts w:eastAsia="宋体" w:cs="Times New Roman"/>
              <w:szCs w:val="21"/>
              <w:lang w:val="zh-CN"/>
            </w:rPr>
            <w:fldChar w:fldCharType="end"/>
          </w:r>
        </w:p>
        <w:p w14:paraId="7BBA7FCE">
          <w:pPr>
            <w:pStyle w:val="22"/>
            <w:tabs>
              <w:tab w:val="right" w:leader="dot" w:pos="8306"/>
            </w:tabs>
          </w:pPr>
          <w:r>
            <w:rPr>
              <w:rFonts w:eastAsia="宋体" w:cs="Times New Roman"/>
              <w:szCs w:val="21"/>
              <w:lang w:val="zh-CN"/>
            </w:rPr>
            <w:fldChar w:fldCharType="begin"/>
          </w:r>
          <w:r>
            <w:rPr>
              <w:rFonts w:eastAsia="宋体" w:cs="Times New Roman"/>
              <w:szCs w:val="21"/>
              <w:lang w:val="zh-CN"/>
            </w:rPr>
            <w:instrText xml:space="preserve"> HYPERLINK \l _Toc12926 </w:instrText>
          </w:r>
          <w:r>
            <w:rPr>
              <w:rFonts w:eastAsia="宋体" w:cs="Times New Roman"/>
              <w:szCs w:val="21"/>
              <w:lang w:val="zh-CN"/>
            </w:rPr>
            <w:fldChar w:fldCharType="separate"/>
          </w:r>
          <w:r>
            <w:rPr>
              <w:rFonts w:hint="default" w:cs="Times New Roman"/>
            </w:rPr>
            <w:t>（二）</w:t>
          </w:r>
          <w:r>
            <w:rPr>
              <w:rFonts w:hint="default" w:cs="Times New Roman"/>
              <w:lang w:val="en-US" w:eastAsia="zh-CN"/>
            </w:rPr>
            <w:t>参与协作单位、</w:t>
          </w:r>
          <w:r>
            <w:rPr>
              <w:rFonts w:hint="default" w:cs="Times New Roman"/>
            </w:rPr>
            <w:t>起草人及其所</w:t>
          </w:r>
          <w:r>
            <w:rPr>
              <w:rFonts w:hint="default" w:cs="Times New Roman"/>
              <w:lang w:val="en-US" w:eastAsia="zh-CN"/>
            </w:rPr>
            <w:t>承担工作</w:t>
          </w:r>
          <w:r>
            <w:tab/>
          </w:r>
          <w:r>
            <w:fldChar w:fldCharType="begin"/>
          </w:r>
          <w:r>
            <w:instrText xml:space="preserve"> PAGEREF _Toc12926 \h </w:instrText>
          </w:r>
          <w:r>
            <w:fldChar w:fldCharType="separate"/>
          </w:r>
          <w:r>
            <w:t>1</w:t>
          </w:r>
          <w:r>
            <w:fldChar w:fldCharType="end"/>
          </w:r>
          <w:r>
            <w:rPr>
              <w:rFonts w:eastAsia="宋体" w:cs="Times New Roman"/>
              <w:szCs w:val="21"/>
              <w:lang w:val="zh-CN"/>
            </w:rPr>
            <w:fldChar w:fldCharType="end"/>
          </w:r>
        </w:p>
        <w:p w14:paraId="45C1DF9C">
          <w:pPr>
            <w:pStyle w:val="22"/>
            <w:tabs>
              <w:tab w:val="right" w:leader="dot" w:pos="8306"/>
            </w:tabs>
          </w:pPr>
          <w:r>
            <w:rPr>
              <w:rFonts w:eastAsia="宋体" w:cs="Times New Roman"/>
              <w:szCs w:val="21"/>
              <w:lang w:val="zh-CN"/>
            </w:rPr>
            <w:fldChar w:fldCharType="begin"/>
          </w:r>
          <w:r>
            <w:rPr>
              <w:rFonts w:eastAsia="宋体" w:cs="Times New Roman"/>
              <w:szCs w:val="21"/>
              <w:lang w:val="zh-CN"/>
            </w:rPr>
            <w:instrText xml:space="preserve"> HYPERLINK \l _Toc31655 </w:instrText>
          </w:r>
          <w:r>
            <w:rPr>
              <w:rFonts w:eastAsia="宋体" w:cs="Times New Roman"/>
              <w:szCs w:val="21"/>
              <w:lang w:val="zh-CN"/>
            </w:rPr>
            <w:fldChar w:fldCharType="separate"/>
          </w:r>
          <w:r>
            <w:rPr>
              <w:rFonts w:hint="default" w:cs="Times New Roman"/>
            </w:rPr>
            <w:t>（三）起草过程</w:t>
          </w:r>
          <w:r>
            <w:tab/>
          </w:r>
          <w:r>
            <w:fldChar w:fldCharType="begin"/>
          </w:r>
          <w:r>
            <w:instrText xml:space="preserve"> PAGEREF _Toc31655 \h </w:instrText>
          </w:r>
          <w:r>
            <w:fldChar w:fldCharType="separate"/>
          </w:r>
          <w:r>
            <w:t>1</w:t>
          </w:r>
          <w:r>
            <w:fldChar w:fldCharType="end"/>
          </w:r>
          <w:r>
            <w:rPr>
              <w:rFonts w:eastAsia="宋体" w:cs="Times New Roman"/>
              <w:szCs w:val="21"/>
              <w:lang w:val="zh-CN"/>
            </w:rPr>
            <w:fldChar w:fldCharType="end"/>
          </w:r>
        </w:p>
        <w:p w14:paraId="52503AB4">
          <w:pPr>
            <w:pStyle w:val="18"/>
            <w:tabs>
              <w:tab w:val="right" w:leader="dot" w:pos="8306"/>
            </w:tabs>
          </w:pPr>
          <w:r>
            <w:rPr>
              <w:rFonts w:eastAsia="宋体" w:cs="Times New Roman"/>
              <w:szCs w:val="21"/>
              <w:lang w:val="zh-CN"/>
            </w:rPr>
            <w:fldChar w:fldCharType="begin"/>
          </w:r>
          <w:r>
            <w:rPr>
              <w:rFonts w:eastAsia="宋体" w:cs="Times New Roman"/>
              <w:szCs w:val="21"/>
              <w:lang w:val="zh-CN"/>
            </w:rPr>
            <w:instrText xml:space="preserve"> HYPERLINK \l _Toc29925 </w:instrText>
          </w:r>
          <w:r>
            <w:rPr>
              <w:rFonts w:eastAsia="宋体" w:cs="Times New Roman"/>
              <w:szCs w:val="21"/>
              <w:lang w:val="zh-CN"/>
            </w:rPr>
            <w:fldChar w:fldCharType="separate"/>
          </w:r>
          <w:r>
            <w:rPr>
              <w:rFonts w:hint="eastAsia"/>
            </w:rPr>
            <w:t>二、与我国有关法律、法规、规章、规范性文件和其他标准的关系</w:t>
          </w:r>
          <w:r>
            <w:tab/>
          </w:r>
          <w:r>
            <w:fldChar w:fldCharType="begin"/>
          </w:r>
          <w:r>
            <w:instrText xml:space="preserve"> PAGEREF _Toc29925 \h </w:instrText>
          </w:r>
          <w:r>
            <w:fldChar w:fldCharType="separate"/>
          </w:r>
          <w:r>
            <w:t>2</w:t>
          </w:r>
          <w:r>
            <w:fldChar w:fldCharType="end"/>
          </w:r>
          <w:r>
            <w:rPr>
              <w:rFonts w:eastAsia="宋体" w:cs="Times New Roman"/>
              <w:szCs w:val="21"/>
              <w:lang w:val="zh-CN"/>
            </w:rPr>
            <w:fldChar w:fldCharType="end"/>
          </w:r>
        </w:p>
        <w:p w14:paraId="002A0159">
          <w:pPr>
            <w:pStyle w:val="18"/>
            <w:tabs>
              <w:tab w:val="right" w:leader="dot" w:pos="8306"/>
            </w:tabs>
          </w:pPr>
          <w:r>
            <w:rPr>
              <w:rFonts w:eastAsia="宋体" w:cs="Times New Roman"/>
              <w:szCs w:val="21"/>
              <w:lang w:val="zh-CN"/>
            </w:rPr>
            <w:fldChar w:fldCharType="begin"/>
          </w:r>
          <w:r>
            <w:rPr>
              <w:rFonts w:eastAsia="宋体" w:cs="Times New Roman"/>
              <w:szCs w:val="21"/>
              <w:lang w:val="zh-CN"/>
            </w:rPr>
            <w:instrText xml:space="preserve"> HYPERLINK \l _Toc11375 </w:instrText>
          </w:r>
          <w:r>
            <w:rPr>
              <w:rFonts w:eastAsia="宋体" w:cs="Times New Roman"/>
              <w:szCs w:val="21"/>
              <w:lang w:val="zh-CN"/>
            </w:rPr>
            <w:fldChar w:fldCharType="separate"/>
          </w:r>
          <w:r>
            <w:rPr>
              <w:rFonts w:hint="eastAsia"/>
              <w:lang w:val="en-US" w:eastAsia="zh-CN"/>
            </w:rPr>
            <w:t>三</w:t>
          </w:r>
          <w:r>
            <w:rPr>
              <w:rFonts w:hint="eastAsia"/>
            </w:rPr>
            <w:t>、国外相关法律、法规、文件和标准情况的对比说明；</w:t>
          </w:r>
          <w:r>
            <w:tab/>
          </w:r>
          <w:r>
            <w:fldChar w:fldCharType="begin"/>
          </w:r>
          <w:r>
            <w:instrText xml:space="preserve"> PAGEREF _Toc11375 \h </w:instrText>
          </w:r>
          <w:r>
            <w:fldChar w:fldCharType="separate"/>
          </w:r>
          <w:r>
            <w:t>3</w:t>
          </w:r>
          <w:r>
            <w:fldChar w:fldCharType="end"/>
          </w:r>
          <w:r>
            <w:rPr>
              <w:rFonts w:eastAsia="宋体" w:cs="Times New Roman"/>
              <w:szCs w:val="21"/>
              <w:lang w:val="zh-CN"/>
            </w:rPr>
            <w:fldChar w:fldCharType="end"/>
          </w:r>
        </w:p>
        <w:p w14:paraId="5057489D">
          <w:pPr>
            <w:pStyle w:val="18"/>
            <w:tabs>
              <w:tab w:val="right" w:leader="dot" w:pos="8306"/>
            </w:tabs>
          </w:pPr>
          <w:r>
            <w:rPr>
              <w:rFonts w:eastAsia="宋体" w:cs="Times New Roman"/>
              <w:szCs w:val="21"/>
              <w:lang w:val="zh-CN"/>
            </w:rPr>
            <w:fldChar w:fldCharType="begin"/>
          </w:r>
          <w:r>
            <w:rPr>
              <w:rFonts w:eastAsia="宋体" w:cs="Times New Roman"/>
              <w:szCs w:val="21"/>
              <w:lang w:val="zh-CN"/>
            </w:rPr>
            <w:instrText xml:space="preserve"> HYPERLINK \l _Toc30647 </w:instrText>
          </w:r>
          <w:r>
            <w:rPr>
              <w:rFonts w:eastAsia="宋体" w:cs="Times New Roman"/>
              <w:szCs w:val="21"/>
              <w:lang w:val="zh-CN"/>
            </w:rPr>
            <w:fldChar w:fldCharType="separate"/>
          </w:r>
          <w:r>
            <w:rPr>
              <w:rFonts w:hint="eastAsia"/>
              <w:lang w:val="en-US" w:eastAsia="zh-CN"/>
            </w:rPr>
            <w:t>四、标准的制定、修订与起草原则</w:t>
          </w:r>
          <w:r>
            <w:tab/>
          </w:r>
          <w:r>
            <w:fldChar w:fldCharType="begin"/>
          </w:r>
          <w:r>
            <w:instrText xml:space="preserve"> PAGEREF _Toc30647 \h </w:instrText>
          </w:r>
          <w:r>
            <w:fldChar w:fldCharType="separate"/>
          </w:r>
          <w:r>
            <w:t>4</w:t>
          </w:r>
          <w:r>
            <w:fldChar w:fldCharType="end"/>
          </w:r>
          <w:r>
            <w:rPr>
              <w:rFonts w:eastAsia="宋体" w:cs="Times New Roman"/>
              <w:szCs w:val="21"/>
              <w:lang w:val="zh-CN"/>
            </w:rPr>
            <w:fldChar w:fldCharType="end"/>
          </w:r>
        </w:p>
        <w:p w14:paraId="24C9FE8E">
          <w:pPr>
            <w:pStyle w:val="18"/>
            <w:tabs>
              <w:tab w:val="right" w:leader="dot" w:pos="8306"/>
            </w:tabs>
          </w:pPr>
          <w:r>
            <w:rPr>
              <w:rFonts w:eastAsia="宋体" w:cs="Times New Roman"/>
              <w:szCs w:val="21"/>
              <w:lang w:val="zh-CN"/>
            </w:rPr>
            <w:fldChar w:fldCharType="begin"/>
          </w:r>
          <w:r>
            <w:rPr>
              <w:rFonts w:eastAsia="宋体" w:cs="Times New Roman"/>
              <w:szCs w:val="21"/>
              <w:lang w:val="zh-CN"/>
            </w:rPr>
            <w:instrText xml:space="preserve"> HYPERLINK \l _Toc27930 </w:instrText>
          </w:r>
          <w:r>
            <w:rPr>
              <w:rFonts w:eastAsia="宋体" w:cs="Times New Roman"/>
              <w:szCs w:val="21"/>
              <w:lang w:val="zh-CN"/>
            </w:rPr>
            <w:fldChar w:fldCharType="separate"/>
          </w:r>
          <w:r>
            <w:rPr>
              <w:rFonts w:hint="eastAsia"/>
              <w:lang w:val="en-US" w:eastAsia="zh-CN"/>
            </w:rPr>
            <w:t>五、确定各项技术内容（如技术指标、参数、公式、试验方法、检验规则等）的依据</w:t>
          </w:r>
          <w:r>
            <w:tab/>
          </w:r>
          <w:r>
            <w:fldChar w:fldCharType="begin"/>
          </w:r>
          <w:r>
            <w:instrText xml:space="preserve"> PAGEREF _Toc27930 \h </w:instrText>
          </w:r>
          <w:r>
            <w:fldChar w:fldCharType="separate"/>
          </w:r>
          <w:r>
            <w:t>4</w:t>
          </w:r>
          <w:r>
            <w:fldChar w:fldCharType="end"/>
          </w:r>
          <w:r>
            <w:rPr>
              <w:rFonts w:eastAsia="宋体" w:cs="Times New Roman"/>
              <w:szCs w:val="21"/>
              <w:lang w:val="zh-CN"/>
            </w:rPr>
            <w:fldChar w:fldCharType="end"/>
          </w:r>
        </w:p>
        <w:p w14:paraId="759AC105">
          <w:pPr>
            <w:pStyle w:val="22"/>
            <w:tabs>
              <w:tab w:val="right" w:leader="dot" w:pos="8306"/>
            </w:tabs>
          </w:pPr>
          <w:r>
            <w:rPr>
              <w:rFonts w:eastAsia="宋体" w:cs="Times New Roman"/>
              <w:szCs w:val="21"/>
              <w:lang w:val="zh-CN"/>
            </w:rPr>
            <w:fldChar w:fldCharType="begin"/>
          </w:r>
          <w:r>
            <w:rPr>
              <w:rFonts w:eastAsia="宋体" w:cs="Times New Roman"/>
              <w:szCs w:val="21"/>
              <w:lang w:val="zh-CN"/>
            </w:rPr>
            <w:instrText xml:space="preserve"> HYPERLINK \l _Toc16493 </w:instrText>
          </w:r>
          <w:r>
            <w:rPr>
              <w:rFonts w:eastAsia="宋体" w:cs="Times New Roman"/>
              <w:szCs w:val="21"/>
              <w:lang w:val="zh-CN"/>
            </w:rPr>
            <w:fldChar w:fldCharType="separate"/>
          </w:r>
          <w:r>
            <w:rPr>
              <w:rFonts w:hint="default" w:cs="Times New Roman"/>
            </w:rPr>
            <w:t>（</w:t>
          </w:r>
          <w:r>
            <w:rPr>
              <w:rFonts w:hint="default" w:cs="Times New Roman"/>
              <w:lang w:val="en-US" w:eastAsia="zh-CN"/>
            </w:rPr>
            <w:t>一</w:t>
          </w:r>
          <w:r>
            <w:rPr>
              <w:rFonts w:hint="default" w:cs="Times New Roman"/>
            </w:rPr>
            <w:t>）技术要求的</w:t>
          </w:r>
          <w:r>
            <w:rPr>
              <w:rFonts w:hint="default" w:cs="Times New Roman"/>
              <w:lang w:val="en-US" w:eastAsia="zh-CN"/>
            </w:rPr>
            <w:t>编制</w:t>
          </w:r>
          <w:r>
            <w:rPr>
              <w:rFonts w:hint="default" w:cs="Times New Roman"/>
            </w:rPr>
            <w:t>依据</w:t>
          </w:r>
          <w:r>
            <w:tab/>
          </w:r>
          <w:r>
            <w:fldChar w:fldCharType="begin"/>
          </w:r>
          <w:r>
            <w:instrText xml:space="preserve"> PAGEREF _Toc16493 \h </w:instrText>
          </w:r>
          <w:r>
            <w:fldChar w:fldCharType="separate"/>
          </w:r>
          <w:r>
            <w:t>4</w:t>
          </w:r>
          <w:r>
            <w:fldChar w:fldCharType="end"/>
          </w:r>
          <w:r>
            <w:rPr>
              <w:rFonts w:eastAsia="宋体" w:cs="Times New Roman"/>
              <w:szCs w:val="21"/>
              <w:lang w:val="zh-CN"/>
            </w:rPr>
            <w:fldChar w:fldCharType="end"/>
          </w:r>
        </w:p>
        <w:p w14:paraId="3BEDDFAD">
          <w:pPr>
            <w:pStyle w:val="14"/>
            <w:tabs>
              <w:tab w:val="right" w:leader="dot" w:pos="8306"/>
            </w:tabs>
          </w:pPr>
          <w:r>
            <w:rPr>
              <w:rFonts w:eastAsia="宋体" w:cs="Times New Roman"/>
              <w:szCs w:val="21"/>
              <w:lang w:val="zh-CN"/>
            </w:rPr>
            <w:fldChar w:fldCharType="begin"/>
          </w:r>
          <w:r>
            <w:rPr>
              <w:rFonts w:eastAsia="宋体" w:cs="Times New Roman"/>
              <w:szCs w:val="21"/>
              <w:lang w:val="zh-CN"/>
            </w:rPr>
            <w:instrText xml:space="preserve"> HYPERLINK \l _Toc16501 </w:instrText>
          </w:r>
          <w:r>
            <w:rPr>
              <w:rFonts w:eastAsia="宋体" w:cs="Times New Roman"/>
              <w:szCs w:val="21"/>
              <w:lang w:val="zh-CN"/>
            </w:rPr>
            <w:fldChar w:fldCharType="separate"/>
          </w:r>
          <w:r>
            <w:rPr>
              <w:rFonts w:hint="default" w:cs="Times New Roman"/>
              <w:lang w:val="en-US" w:eastAsia="zh-CN"/>
            </w:rPr>
            <w:t>1.范围</w:t>
          </w:r>
          <w:r>
            <w:tab/>
          </w:r>
          <w:r>
            <w:fldChar w:fldCharType="begin"/>
          </w:r>
          <w:r>
            <w:instrText xml:space="preserve"> PAGEREF _Toc16501 \h </w:instrText>
          </w:r>
          <w:r>
            <w:fldChar w:fldCharType="separate"/>
          </w:r>
          <w:r>
            <w:t>4</w:t>
          </w:r>
          <w:r>
            <w:fldChar w:fldCharType="end"/>
          </w:r>
          <w:r>
            <w:rPr>
              <w:rFonts w:eastAsia="宋体" w:cs="Times New Roman"/>
              <w:szCs w:val="21"/>
              <w:lang w:val="zh-CN"/>
            </w:rPr>
            <w:fldChar w:fldCharType="end"/>
          </w:r>
        </w:p>
        <w:p w14:paraId="7B3872D4">
          <w:pPr>
            <w:pStyle w:val="14"/>
            <w:tabs>
              <w:tab w:val="right" w:leader="dot" w:pos="8306"/>
            </w:tabs>
          </w:pPr>
          <w:r>
            <w:rPr>
              <w:rFonts w:eastAsia="宋体" w:cs="Times New Roman"/>
              <w:szCs w:val="21"/>
              <w:lang w:val="zh-CN"/>
            </w:rPr>
            <w:fldChar w:fldCharType="begin"/>
          </w:r>
          <w:r>
            <w:rPr>
              <w:rFonts w:eastAsia="宋体" w:cs="Times New Roman"/>
              <w:szCs w:val="21"/>
              <w:lang w:val="zh-CN"/>
            </w:rPr>
            <w:instrText xml:space="preserve"> HYPERLINK \l _Toc21769 </w:instrText>
          </w:r>
          <w:r>
            <w:rPr>
              <w:rFonts w:eastAsia="宋体" w:cs="Times New Roman"/>
              <w:szCs w:val="21"/>
              <w:lang w:val="zh-CN"/>
            </w:rPr>
            <w:fldChar w:fldCharType="separate"/>
          </w:r>
          <w:r>
            <w:rPr>
              <w:rFonts w:hint="default" w:cs="Times New Roman"/>
              <w:lang w:val="en-US" w:eastAsia="zh-CN"/>
            </w:rPr>
            <w:t>2.规范性引用文件</w:t>
          </w:r>
          <w:r>
            <w:tab/>
          </w:r>
          <w:r>
            <w:fldChar w:fldCharType="begin"/>
          </w:r>
          <w:r>
            <w:instrText xml:space="preserve"> PAGEREF _Toc21769 \h </w:instrText>
          </w:r>
          <w:r>
            <w:fldChar w:fldCharType="separate"/>
          </w:r>
          <w:r>
            <w:t>4</w:t>
          </w:r>
          <w:r>
            <w:fldChar w:fldCharType="end"/>
          </w:r>
          <w:r>
            <w:rPr>
              <w:rFonts w:eastAsia="宋体" w:cs="Times New Roman"/>
              <w:szCs w:val="21"/>
              <w:lang w:val="zh-CN"/>
            </w:rPr>
            <w:fldChar w:fldCharType="end"/>
          </w:r>
        </w:p>
        <w:p w14:paraId="582A3492">
          <w:pPr>
            <w:pStyle w:val="14"/>
            <w:tabs>
              <w:tab w:val="right" w:leader="dot" w:pos="8306"/>
            </w:tabs>
          </w:pPr>
          <w:r>
            <w:rPr>
              <w:rFonts w:eastAsia="宋体" w:cs="Times New Roman"/>
              <w:szCs w:val="21"/>
              <w:lang w:val="zh-CN"/>
            </w:rPr>
            <w:fldChar w:fldCharType="begin"/>
          </w:r>
          <w:r>
            <w:rPr>
              <w:rFonts w:eastAsia="宋体" w:cs="Times New Roman"/>
              <w:szCs w:val="21"/>
              <w:lang w:val="zh-CN"/>
            </w:rPr>
            <w:instrText xml:space="preserve"> HYPERLINK \l _Toc4405 </w:instrText>
          </w:r>
          <w:r>
            <w:rPr>
              <w:rFonts w:eastAsia="宋体" w:cs="Times New Roman"/>
              <w:szCs w:val="21"/>
              <w:lang w:val="zh-CN"/>
            </w:rPr>
            <w:fldChar w:fldCharType="separate"/>
          </w:r>
          <w:r>
            <w:rPr>
              <w:rFonts w:hint="default" w:cs="Times New Roman"/>
              <w:lang w:val="en-US" w:eastAsia="zh-CN"/>
            </w:rPr>
            <w:t>3.术语定义</w:t>
          </w:r>
          <w:r>
            <w:tab/>
          </w:r>
          <w:r>
            <w:fldChar w:fldCharType="begin"/>
          </w:r>
          <w:r>
            <w:instrText xml:space="preserve"> PAGEREF _Toc4405 \h </w:instrText>
          </w:r>
          <w:r>
            <w:fldChar w:fldCharType="separate"/>
          </w:r>
          <w:r>
            <w:t>5</w:t>
          </w:r>
          <w:r>
            <w:fldChar w:fldCharType="end"/>
          </w:r>
          <w:r>
            <w:rPr>
              <w:rFonts w:eastAsia="宋体" w:cs="Times New Roman"/>
              <w:szCs w:val="21"/>
              <w:lang w:val="zh-CN"/>
            </w:rPr>
            <w:fldChar w:fldCharType="end"/>
          </w:r>
        </w:p>
        <w:p w14:paraId="56D0BF71">
          <w:pPr>
            <w:pStyle w:val="14"/>
            <w:tabs>
              <w:tab w:val="right" w:leader="dot" w:pos="8306"/>
            </w:tabs>
          </w:pPr>
          <w:r>
            <w:rPr>
              <w:rFonts w:eastAsia="宋体" w:cs="Times New Roman"/>
              <w:szCs w:val="21"/>
              <w:lang w:val="zh-CN"/>
            </w:rPr>
            <w:fldChar w:fldCharType="begin"/>
          </w:r>
          <w:r>
            <w:rPr>
              <w:rFonts w:eastAsia="宋体" w:cs="Times New Roman"/>
              <w:szCs w:val="21"/>
              <w:lang w:val="zh-CN"/>
            </w:rPr>
            <w:instrText xml:space="preserve"> HYPERLINK \l _Toc1831 </w:instrText>
          </w:r>
          <w:r>
            <w:rPr>
              <w:rFonts w:eastAsia="宋体" w:cs="Times New Roman"/>
              <w:szCs w:val="21"/>
              <w:lang w:val="zh-CN"/>
            </w:rPr>
            <w:fldChar w:fldCharType="separate"/>
          </w:r>
          <w:r>
            <w:rPr>
              <w:rFonts w:hint="default" w:cs="Times New Roman"/>
              <w:lang w:val="en-US" w:eastAsia="zh-CN"/>
            </w:rPr>
            <w:t>4.智能采样系统构成</w:t>
          </w:r>
          <w:r>
            <w:tab/>
          </w:r>
          <w:r>
            <w:fldChar w:fldCharType="begin"/>
          </w:r>
          <w:r>
            <w:instrText xml:space="preserve"> PAGEREF _Toc1831 \h </w:instrText>
          </w:r>
          <w:r>
            <w:fldChar w:fldCharType="separate"/>
          </w:r>
          <w:r>
            <w:t>6</w:t>
          </w:r>
          <w:r>
            <w:fldChar w:fldCharType="end"/>
          </w:r>
          <w:r>
            <w:rPr>
              <w:rFonts w:eastAsia="宋体" w:cs="Times New Roman"/>
              <w:szCs w:val="21"/>
              <w:lang w:val="zh-CN"/>
            </w:rPr>
            <w:fldChar w:fldCharType="end"/>
          </w:r>
        </w:p>
        <w:p w14:paraId="030B0FF4">
          <w:pPr>
            <w:pStyle w:val="14"/>
            <w:tabs>
              <w:tab w:val="right" w:leader="dot" w:pos="8306"/>
            </w:tabs>
          </w:pPr>
          <w:r>
            <w:rPr>
              <w:rFonts w:eastAsia="宋体" w:cs="Times New Roman"/>
              <w:szCs w:val="21"/>
              <w:lang w:val="zh-CN"/>
            </w:rPr>
            <w:fldChar w:fldCharType="begin"/>
          </w:r>
          <w:r>
            <w:rPr>
              <w:rFonts w:eastAsia="宋体" w:cs="Times New Roman"/>
              <w:szCs w:val="21"/>
              <w:lang w:val="zh-CN"/>
            </w:rPr>
            <w:instrText xml:space="preserve"> HYPERLINK \l _Toc7518 </w:instrText>
          </w:r>
          <w:r>
            <w:rPr>
              <w:rFonts w:eastAsia="宋体" w:cs="Times New Roman"/>
              <w:szCs w:val="21"/>
              <w:lang w:val="zh-CN"/>
            </w:rPr>
            <w:fldChar w:fldCharType="separate"/>
          </w:r>
          <w:r>
            <w:rPr>
              <w:rFonts w:hint="default" w:cs="Times New Roman"/>
              <w:lang w:val="en-US" w:eastAsia="zh-CN"/>
            </w:rPr>
            <w:t>5.采样前的准备</w:t>
          </w:r>
          <w:r>
            <w:tab/>
          </w:r>
          <w:r>
            <w:fldChar w:fldCharType="begin"/>
          </w:r>
          <w:r>
            <w:instrText xml:space="preserve"> PAGEREF _Toc7518 \h </w:instrText>
          </w:r>
          <w:r>
            <w:fldChar w:fldCharType="separate"/>
          </w:r>
          <w:r>
            <w:t>7</w:t>
          </w:r>
          <w:r>
            <w:fldChar w:fldCharType="end"/>
          </w:r>
          <w:r>
            <w:rPr>
              <w:rFonts w:eastAsia="宋体" w:cs="Times New Roman"/>
              <w:szCs w:val="21"/>
              <w:lang w:val="zh-CN"/>
            </w:rPr>
            <w:fldChar w:fldCharType="end"/>
          </w:r>
        </w:p>
        <w:p w14:paraId="73894B90">
          <w:pPr>
            <w:pStyle w:val="14"/>
            <w:tabs>
              <w:tab w:val="right" w:leader="dot" w:pos="8306"/>
            </w:tabs>
          </w:pPr>
          <w:r>
            <w:rPr>
              <w:rFonts w:eastAsia="宋体" w:cs="Times New Roman"/>
              <w:szCs w:val="21"/>
              <w:lang w:val="zh-CN"/>
            </w:rPr>
            <w:fldChar w:fldCharType="begin"/>
          </w:r>
          <w:r>
            <w:rPr>
              <w:rFonts w:eastAsia="宋体" w:cs="Times New Roman"/>
              <w:szCs w:val="21"/>
              <w:lang w:val="zh-CN"/>
            </w:rPr>
            <w:instrText xml:space="preserve"> HYPERLINK \l _Toc19529 </w:instrText>
          </w:r>
          <w:r>
            <w:rPr>
              <w:rFonts w:eastAsia="宋体" w:cs="Times New Roman"/>
              <w:szCs w:val="21"/>
              <w:lang w:val="zh-CN"/>
            </w:rPr>
            <w:fldChar w:fldCharType="separate"/>
          </w:r>
          <w:r>
            <w:rPr>
              <w:rFonts w:hint="default" w:cs="Times New Roman"/>
              <w:lang w:val="en-US" w:eastAsia="zh-CN"/>
            </w:rPr>
            <w:t>6.采样点布设</w:t>
          </w:r>
          <w:r>
            <w:tab/>
          </w:r>
          <w:r>
            <w:fldChar w:fldCharType="begin"/>
          </w:r>
          <w:r>
            <w:instrText xml:space="preserve"> PAGEREF _Toc19529 \h </w:instrText>
          </w:r>
          <w:r>
            <w:fldChar w:fldCharType="separate"/>
          </w:r>
          <w:r>
            <w:t>8</w:t>
          </w:r>
          <w:r>
            <w:fldChar w:fldCharType="end"/>
          </w:r>
          <w:r>
            <w:rPr>
              <w:rFonts w:eastAsia="宋体" w:cs="Times New Roman"/>
              <w:szCs w:val="21"/>
              <w:lang w:val="zh-CN"/>
            </w:rPr>
            <w:fldChar w:fldCharType="end"/>
          </w:r>
        </w:p>
        <w:p w14:paraId="43403018">
          <w:pPr>
            <w:pStyle w:val="14"/>
            <w:tabs>
              <w:tab w:val="right" w:leader="dot" w:pos="8306"/>
            </w:tabs>
          </w:pPr>
          <w:r>
            <w:rPr>
              <w:rFonts w:eastAsia="宋体" w:cs="Times New Roman"/>
              <w:szCs w:val="21"/>
              <w:lang w:val="zh-CN"/>
            </w:rPr>
            <w:fldChar w:fldCharType="begin"/>
          </w:r>
          <w:r>
            <w:rPr>
              <w:rFonts w:eastAsia="宋体" w:cs="Times New Roman"/>
              <w:szCs w:val="21"/>
              <w:lang w:val="zh-CN"/>
            </w:rPr>
            <w:instrText xml:space="preserve"> HYPERLINK \l _Toc7622 </w:instrText>
          </w:r>
          <w:r>
            <w:rPr>
              <w:rFonts w:eastAsia="宋体" w:cs="Times New Roman"/>
              <w:szCs w:val="21"/>
              <w:lang w:val="zh-CN"/>
            </w:rPr>
            <w:fldChar w:fldCharType="separate"/>
          </w:r>
          <w:r>
            <w:rPr>
              <w:rFonts w:hint="default" w:cs="Times New Roman"/>
              <w:lang w:val="en-US" w:eastAsia="zh-CN"/>
            </w:rPr>
            <w:t>7.采样方法与步骤</w:t>
          </w:r>
          <w:r>
            <w:tab/>
          </w:r>
          <w:r>
            <w:fldChar w:fldCharType="begin"/>
          </w:r>
          <w:r>
            <w:instrText xml:space="preserve"> PAGEREF _Toc7622 \h </w:instrText>
          </w:r>
          <w:r>
            <w:fldChar w:fldCharType="separate"/>
          </w:r>
          <w:r>
            <w:t>9</w:t>
          </w:r>
          <w:r>
            <w:fldChar w:fldCharType="end"/>
          </w:r>
          <w:r>
            <w:rPr>
              <w:rFonts w:eastAsia="宋体" w:cs="Times New Roman"/>
              <w:szCs w:val="21"/>
              <w:lang w:val="zh-CN"/>
            </w:rPr>
            <w:fldChar w:fldCharType="end"/>
          </w:r>
        </w:p>
        <w:p w14:paraId="6954BF2E">
          <w:pPr>
            <w:pStyle w:val="14"/>
            <w:tabs>
              <w:tab w:val="right" w:leader="dot" w:pos="8306"/>
            </w:tabs>
          </w:pPr>
          <w:r>
            <w:rPr>
              <w:rFonts w:eastAsia="宋体" w:cs="Times New Roman"/>
              <w:szCs w:val="21"/>
              <w:lang w:val="zh-CN"/>
            </w:rPr>
            <w:fldChar w:fldCharType="begin"/>
          </w:r>
          <w:r>
            <w:rPr>
              <w:rFonts w:eastAsia="宋体" w:cs="Times New Roman"/>
              <w:szCs w:val="21"/>
              <w:lang w:val="zh-CN"/>
            </w:rPr>
            <w:instrText xml:space="preserve"> HYPERLINK \l _Toc13758 </w:instrText>
          </w:r>
          <w:r>
            <w:rPr>
              <w:rFonts w:eastAsia="宋体" w:cs="Times New Roman"/>
              <w:szCs w:val="21"/>
              <w:lang w:val="zh-CN"/>
            </w:rPr>
            <w:fldChar w:fldCharType="separate"/>
          </w:r>
          <w:r>
            <w:rPr>
              <w:rFonts w:hint="default" w:cs="Times New Roman"/>
              <w:lang w:val="en-US" w:eastAsia="zh-CN"/>
            </w:rPr>
            <w:t>8.样品运输与保存</w:t>
          </w:r>
          <w:r>
            <w:tab/>
          </w:r>
          <w:r>
            <w:fldChar w:fldCharType="begin"/>
          </w:r>
          <w:r>
            <w:instrText xml:space="preserve"> PAGEREF _Toc13758 \h </w:instrText>
          </w:r>
          <w:r>
            <w:fldChar w:fldCharType="separate"/>
          </w:r>
          <w:r>
            <w:t>10</w:t>
          </w:r>
          <w:r>
            <w:fldChar w:fldCharType="end"/>
          </w:r>
          <w:r>
            <w:rPr>
              <w:rFonts w:eastAsia="宋体" w:cs="Times New Roman"/>
              <w:szCs w:val="21"/>
              <w:lang w:val="zh-CN"/>
            </w:rPr>
            <w:fldChar w:fldCharType="end"/>
          </w:r>
        </w:p>
        <w:p w14:paraId="2580E07E">
          <w:pPr>
            <w:pStyle w:val="14"/>
            <w:tabs>
              <w:tab w:val="right" w:leader="dot" w:pos="8306"/>
            </w:tabs>
          </w:pPr>
          <w:r>
            <w:rPr>
              <w:rFonts w:eastAsia="宋体" w:cs="Times New Roman"/>
              <w:szCs w:val="21"/>
              <w:lang w:val="zh-CN"/>
            </w:rPr>
            <w:fldChar w:fldCharType="begin"/>
          </w:r>
          <w:r>
            <w:rPr>
              <w:rFonts w:eastAsia="宋体" w:cs="Times New Roman"/>
              <w:szCs w:val="21"/>
              <w:lang w:val="zh-CN"/>
            </w:rPr>
            <w:instrText xml:space="preserve"> HYPERLINK \l _Toc4855 </w:instrText>
          </w:r>
          <w:r>
            <w:rPr>
              <w:rFonts w:eastAsia="宋体" w:cs="Times New Roman"/>
              <w:szCs w:val="21"/>
              <w:lang w:val="zh-CN"/>
            </w:rPr>
            <w:fldChar w:fldCharType="separate"/>
          </w:r>
          <w:r>
            <w:rPr>
              <w:rFonts w:hint="default" w:cs="Times New Roman"/>
              <w:lang w:val="en-US" w:eastAsia="zh-CN"/>
            </w:rPr>
            <w:t>9.质量控制</w:t>
          </w:r>
          <w:r>
            <w:tab/>
          </w:r>
          <w:r>
            <w:fldChar w:fldCharType="begin"/>
          </w:r>
          <w:r>
            <w:instrText xml:space="preserve"> PAGEREF _Toc4855 \h </w:instrText>
          </w:r>
          <w:r>
            <w:fldChar w:fldCharType="separate"/>
          </w:r>
          <w:r>
            <w:t>10</w:t>
          </w:r>
          <w:r>
            <w:fldChar w:fldCharType="end"/>
          </w:r>
          <w:r>
            <w:rPr>
              <w:rFonts w:eastAsia="宋体" w:cs="Times New Roman"/>
              <w:szCs w:val="21"/>
              <w:lang w:val="zh-CN"/>
            </w:rPr>
            <w:fldChar w:fldCharType="end"/>
          </w:r>
        </w:p>
        <w:p w14:paraId="067D6412">
          <w:pPr>
            <w:pStyle w:val="14"/>
            <w:tabs>
              <w:tab w:val="right" w:leader="dot" w:pos="8306"/>
            </w:tabs>
          </w:pPr>
          <w:r>
            <w:rPr>
              <w:rFonts w:eastAsia="宋体" w:cs="Times New Roman"/>
              <w:szCs w:val="21"/>
              <w:lang w:val="zh-CN"/>
            </w:rPr>
            <w:fldChar w:fldCharType="begin"/>
          </w:r>
          <w:r>
            <w:rPr>
              <w:rFonts w:eastAsia="宋体" w:cs="Times New Roman"/>
              <w:szCs w:val="21"/>
              <w:lang w:val="zh-CN"/>
            </w:rPr>
            <w:instrText xml:space="preserve"> HYPERLINK \l _Toc10670 </w:instrText>
          </w:r>
          <w:r>
            <w:rPr>
              <w:rFonts w:eastAsia="宋体" w:cs="Times New Roman"/>
              <w:szCs w:val="21"/>
              <w:lang w:val="zh-CN"/>
            </w:rPr>
            <w:fldChar w:fldCharType="separate"/>
          </w:r>
          <w:r>
            <w:rPr>
              <w:rFonts w:hint="default" w:cs="Times New Roman"/>
              <w:lang w:val="en-US" w:eastAsia="zh-CN"/>
            </w:rPr>
            <w:t>10.采样记录与报告</w:t>
          </w:r>
          <w:r>
            <w:tab/>
          </w:r>
          <w:r>
            <w:fldChar w:fldCharType="begin"/>
          </w:r>
          <w:r>
            <w:instrText xml:space="preserve"> PAGEREF _Toc10670 \h </w:instrText>
          </w:r>
          <w:r>
            <w:fldChar w:fldCharType="separate"/>
          </w:r>
          <w:r>
            <w:t>11</w:t>
          </w:r>
          <w:r>
            <w:fldChar w:fldCharType="end"/>
          </w:r>
          <w:r>
            <w:rPr>
              <w:rFonts w:eastAsia="宋体" w:cs="Times New Roman"/>
              <w:szCs w:val="21"/>
              <w:lang w:val="zh-CN"/>
            </w:rPr>
            <w:fldChar w:fldCharType="end"/>
          </w:r>
        </w:p>
        <w:p w14:paraId="26D09FD9">
          <w:pPr>
            <w:pStyle w:val="22"/>
            <w:tabs>
              <w:tab w:val="right" w:leader="dot" w:pos="8306"/>
            </w:tabs>
          </w:pPr>
          <w:r>
            <w:rPr>
              <w:rFonts w:eastAsia="宋体" w:cs="Times New Roman"/>
              <w:szCs w:val="21"/>
              <w:lang w:val="zh-CN"/>
            </w:rPr>
            <w:fldChar w:fldCharType="begin"/>
          </w:r>
          <w:r>
            <w:rPr>
              <w:rFonts w:eastAsia="宋体" w:cs="Times New Roman"/>
              <w:szCs w:val="21"/>
              <w:lang w:val="zh-CN"/>
            </w:rPr>
            <w:instrText xml:space="preserve"> HYPERLINK \l _Toc31391 </w:instrText>
          </w:r>
          <w:r>
            <w:rPr>
              <w:rFonts w:eastAsia="宋体" w:cs="Times New Roman"/>
              <w:szCs w:val="21"/>
              <w:lang w:val="zh-CN"/>
            </w:rPr>
            <w:fldChar w:fldCharType="separate"/>
          </w:r>
          <w:r>
            <w:rPr>
              <w:rFonts w:hint="default" w:cs="Times New Roman"/>
            </w:rPr>
            <w:t>（</w:t>
          </w:r>
          <w:r>
            <w:rPr>
              <w:rFonts w:hint="default" w:cs="Times New Roman"/>
              <w:lang w:val="en-US" w:eastAsia="zh-CN"/>
            </w:rPr>
            <w:t>二</w:t>
          </w:r>
          <w:r>
            <w:rPr>
              <w:rFonts w:hint="default" w:cs="Times New Roman"/>
            </w:rPr>
            <w:t>）主要验证报告</w:t>
          </w:r>
          <w:r>
            <w:tab/>
          </w:r>
          <w:r>
            <w:fldChar w:fldCharType="begin"/>
          </w:r>
          <w:r>
            <w:instrText xml:space="preserve"> PAGEREF _Toc31391 \h </w:instrText>
          </w:r>
          <w:r>
            <w:fldChar w:fldCharType="separate"/>
          </w:r>
          <w:r>
            <w:t>11</w:t>
          </w:r>
          <w:r>
            <w:fldChar w:fldCharType="end"/>
          </w:r>
          <w:r>
            <w:rPr>
              <w:rFonts w:eastAsia="宋体" w:cs="Times New Roman"/>
              <w:szCs w:val="21"/>
              <w:lang w:val="zh-CN"/>
            </w:rPr>
            <w:fldChar w:fldCharType="end"/>
          </w:r>
        </w:p>
        <w:p w14:paraId="4AEFE9A0">
          <w:pPr>
            <w:pStyle w:val="18"/>
            <w:tabs>
              <w:tab w:val="right" w:leader="dot" w:pos="8306"/>
            </w:tabs>
          </w:pPr>
          <w:r>
            <w:rPr>
              <w:rFonts w:eastAsia="宋体" w:cs="Times New Roman"/>
              <w:szCs w:val="21"/>
              <w:lang w:val="zh-CN"/>
            </w:rPr>
            <w:fldChar w:fldCharType="begin"/>
          </w:r>
          <w:r>
            <w:rPr>
              <w:rFonts w:eastAsia="宋体" w:cs="Times New Roman"/>
              <w:szCs w:val="21"/>
              <w:lang w:val="zh-CN"/>
            </w:rPr>
            <w:instrText xml:space="preserve"> HYPERLINK \l _Toc31950 </w:instrText>
          </w:r>
          <w:r>
            <w:rPr>
              <w:rFonts w:eastAsia="宋体" w:cs="Times New Roman"/>
              <w:szCs w:val="21"/>
              <w:lang w:val="zh-CN"/>
            </w:rPr>
            <w:fldChar w:fldCharType="separate"/>
          </w:r>
          <w:r>
            <w:rPr>
              <w:rFonts w:hint="eastAsia"/>
              <w:lang w:val="en-US" w:eastAsia="zh-CN"/>
            </w:rPr>
            <w:t>六</w:t>
          </w:r>
          <w:r>
            <w:rPr>
              <w:rFonts w:hint="eastAsia"/>
            </w:rPr>
            <w:t>、</w:t>
          </w:r>
          <w:r>
            <w:rPr>
              <w:rFonts w:hint="eastAsia"/>
              <w:lang w:val="en-US" w:eastAsia="zh-CN"/>
            </w:rPr>
            <w:t>征求意见和采纳情况、不采纳意见的理由</w:t>
          </w:r>
          <w:r>
            <w:tab/>
          </w:r>
          <w:r>
            <w:fldChar w:fldCharType="begin"/>
          </w:r>
          <w:r>
            <w:instrText xml:space="preserve"> PAGEREF _Toc31950 \h </w:instrText>
          </w:r>
          <w:r>
            <w:fldChar w:fldCharType="separate"/>
          </w:r>
          <w:r>
            <w:t>12</w:t>
          </w:r>
          <w:r>
            <w:fldChar w:fldCharType="end"/>
          </w:r>
          <w:r>
            <w:rPr>
              <w:rFonts w:eastAsia="宋体" w:cs="Times New Roman"/>
              <w:szCs w:val="21"/>
              <w:lang w:val="zh-CN"/>
            </w:rPr>
            <w:fldChar w:fldCharType="end"/>
          </w:r>
        </w:p>
        <w:p w14:paraId="011EDE91">
          <w:pPr>
            <w:pStyle w:val="18"/>
            <w:tabs>
              <w:tab w:val="right" w:leader="dot" w:pos="8306"/>
            </w:tabs>
          </w:pPr>
          <w:r>
            <w:rPr>
              <w:rFonts w:eastAsia="宋体" w:cs="Times New Roman"/>
              <w:szCs w:val="21"/>
              <w:lang w:val="zh-CN"/>
            </w:rPr>
            <w:fldChar w:fldCharType="begin"/>
          </w:r>
          <w:r>
            <w:rPr>
              <w:rFonts w:eastAsia="宋体" w:cs="Times New Roman"/>
              <w:szCs w:val="21"/>
              <w:lang w:val="zh-CN"/>
            </w:rPr>
            <w:instrText xml:space="preserve"> HYPERLINK \l _Toc12011 </w:instrText>
          </w:r>
          <w:r>
            <w:rPr>
              <w:rFonts w:eastAsia="宋体" w:cs="Times New Roman"/>
              <w:szCs w:val="21"/>
              <w:lang w:val="zh-CN"/>
            </w:rPr>
            <w:fldChar w:fldCharType="separate"/>
          </w:r>
          <w:r>
            <w:rPr>
              <w:rFonts w:hint="eastAsia"/>
              <w:lang w:val="en-US" w:eastAsia="zh-CN"/>
            </w:rPr>
            <w:t>七、</w:t>
          </w:r>
          <w:r>
            <w:rPr>
              <w:rFonts w:hint="eastAsia"/>
            </w:rPr>
            <w:t>重大分歧意见的处理</w:t>
          </w:r>
          <w:r>
            <w:rPr>
              <w:rFonts w:hint="eastAsia"/>
              <w:lang w:val="en-US" w:eastAsia="zh-CN"/>
            </w:rPr>
            <w:t>结果和</w:t>
          </w:r>
          <w:r>
            <w:rPr>
              <w:rFonts w:hint="eastAsia"/>
            </w:rPr>
            <w:t>依据</w:t>
          </w:r>
          <w:r>
            <w:tab/>
          </w:r>
          <w:r>
            <w:fldChar w:fldCharType="begin"/>
          </w:r>
          <w:r>
            <w:instrText xml:space="preserve"> PAGEREF _Toc12011 \h </w:instrText>
          </w:r>
          <w:r>
            <w:fldChar w:fldCharType="separate"/>
          </w:r>
          <w:r>
            <w:t>12</w:t>
          </w:r>
          <w:r>
            <w:fldChar w:fldCharType="end"/>
          </w:r>
          <w:r>
            <w:rPr>
              <w:rFonts w:eastAsia="宋体" w:cs="Times New Roman"/>
              <w:szCs w:val="21"/>
              <w:lang w:val="zh-CN"/>
            </w:rPr>
            <w:fldChar w:fldCharType="end"/>
          </w:r>
        </w:p>
        <w:p w14:paraId="1319ED20">
          <w:pPr>
            <w:pStyle w:val="18"/>
            <w:tabs>
              <w:tab w:val="right" w:leader="dot" w:pos="8306"/>
            </w:tabs>
          </w:pPr>
          <w:r>
            <w:rPr>
              <w:rFonts w:eastAsia="宋体" w:cs="Times New Roman"/>
              <w:szCs w:val="21"/>
              <w:lang w:val="zh-CN"/>
            </w:rPr>
            <w:fldChar w:fldCharType="begin"/>
          </w:r>
          <w:r>
            <w:rPr>
              <w:rFonts w:eastAsia="宋体" w:cs="Times New Roman"/>
              <w:szCs w:val="21"/>
              <w:lang w:val="zh-CN"/>
            </w:rPr>
            <w:instrText xml:space="preserve"> HYPERLINK \l _Toc26503 </w:instrText>
          </w:r>
          <w:r>
            <w:rPr>
              <w:rFonts w:eastAsia="宋体" w:cs="Times New Roman"/>
              <w:szCs w:val="21"/>
              <w:lang w:val="zh-CN"/>
            </w:rPr>
            <w:fldChar w:fldCharType="separate"/>
          </w:r>
          <w:r>
            <w:rPr>
              <w:rFonts w:hint="eastAsia"/>
              <w:lang w:val="en-US" w:eastAsia="zh-CN"/>
            </w:rPr>
            <w:t>八</w:t>
          </w:r>
          <w:r>
            <w:rPr>
              <w:rFonts w:hint="eastAsia"/>
            </w:rPr>
            <w:t>、根据需要提出实施标准的建议</w:t>
          </w:r>
          <w:r>
            <w:tab/>
          </w:r>
          <w:r>
            <w:fldChar w:fldCharType="begin"/>
          </w:r>
          <w:r>
            <w:instrText xml:space="preserve"> PAGEREF _Toc26503 \h </w:instrText>
          </w:r>
          <w:r>
            <w:fldChar w:fldCharType="separate"/>
          </w:r>
          <w:r>
            <w:t>12</w:t>
          </w:r>
          <w:r>
            <w:fldChar w:fldCharType="end"/>
          </w:r>
          <w:r>
            <w:rPr>
              <w:rFonts w:eastAsia="宋体" w:cs="Times New Roman"/>
              <w:szCs w:val="21"/>
              <w:lang w:val="zh-CN"/>
            </w:rPr>
            <w:fldChar w:fldCharType="end"/>
          </w:r>
        </w:p>
        <w:p w14:paraId="7976ABC9">
          <w:pPr>
            <w:pStyle w:val="18"/>
            <w:tabs>
              <w:tab w:val="right" w:leader="dot" w:pos="8306"/>
            </w:tabs>
          </w:pPr>
          <w:r>
            <w:rPr>
              <w:rFonts w:eastAsia="宋体" w:cs="Times New Roman"/>
              <w:szCs w:val="21"/>
              <w:lang w:val="zh-CN"/>
            </w:rPr>
            <w:fldChar w:fldCharType="begin"/>
          </w:r>
          <w:r>
            <w:rPr>
              <w:rFonts w:eastAsia="宋体" w:cs="Times New Roman"/>
              <w:szCs w:val="21"/>
              <w:lang w:val="zh-CN"/>
            </w:rPr>
            <w:instrText xml:space="preserve"> HYPERLINK \l _Toc9736 </w:instrText>
          </w:r>
          <w:r>
            <w:rPr>
              <w:rFonts w:eastAsia="宋体" w:cs="Times New Roman"/>
              <w:szCs w:val="21"/>
              <w:lang w:val="zh-CN"/>
            </w:rPr>
            <w:fldChar w:fldCharType="separate"/>
          </w:r>
          <w:r>
            <w:rPr>
              <w:rFonts w:hint="eastAsia"/>
              <w:lang w:val="en-US" w:eastAsia="zh-CN"/>
            </w:rPr>
            <w:t>九</w:t>
          </w:r>
          <w:r>
            <w:rPr>
              <w:rFonts w:hint="eastAsia"/>
            </w:rPr>
            <w:t>、其他应予说明的事项</w:t>
          </w:r>
          <w:r>
            <w:tab/>
          </w:r>
          <w:r>
            <w:fldChar w:fldCharType="begin"/>
          </w:r>
          <w:r>
            <w:instrText xml:space="preserve"> PAGEREF _Toc9736 \h </w:instrText>
          </w:r>
          <w:r>
            <w:fldChar w:fldCharType="separate"/>
          </w:r>
          <w:r>
            <w:t>12</w:t>
          </w:r>
          <w:r>
            <w:fldChar w:fldCharType="end"/>
          </w:r>
          <w:r>
            <w:rPr>
              <w:rFonts w:eastAsia="宋体" w:cs="Times New Roman"/>
              <w:szCs w:val="21"/>
              <w:lang w:val="zh-CN"/>
            </w:rPr>
            <w:fldChar w:fldCharType="end"/>
          </w:r>
        </w:p>
        <w:p w14:paraId="08A8BE6D">
          <w:pPr>
            <w:pStyle w:val="18"/>
            <w:tabs>
              <w:tab w:val="right" w:leader="dot" w:pos="8306"/>
            </w:tabs>
          </w:pPr>
          <w:r>
            <w:rPr>
              <w:rFonts w:eastAsia="宋体" w:cs="Times New Roman"/>
              <w:szCs w:val="21"/>
              <w:lang w:val="zh-CN"/>
            </w:rPr>
            <w:fldChar w:fldCharType="begin"/>
          </w:r>
          <w:r>
            <w:rPr>
              <w:rFonts w:eastAsia="宋体" w:cs="Times New Roman"/>
              <w:szCs w:val="21"/>
              <w:lang w:val="zh-CN"/>
            </w:rPr>
            <w:instrText xml:space="preserve"> HYPERLINK \l _Toc29172 </w:instrText>
          </w:r>
          <w:r>
            <w:rPr>
              <w:rFonts w:eastAsia="宋体" w:cs="Times New Roman"/>
              <w:szCs w:val="21"/>
              <w:lang w:val="zh-CN"/>
            </w:rPr>
            <w:fldChar w:fldCharType="separate"/>
          </w:r>
          <w:r>
            <w:rPr>
              <w:rFonts w:hint="eastAsia"/>
              <w:lang w:val="en-US" w:eastAsia="zh-CN"/>
            </w:rPr>
            <w:t>附件：</w:t>
          </w:r>
          <w:r>
            <w:rPr>
              <w:rFonts w:hint="eastAsia" w:cs="Times New Roman"/>
              <w:szCs w:val="24"/>
              <w:lang w:val="en-US" w:eastAsia="zh-CN"/>
            </w:rPr>
            <w:t>基于三种液体气旋采样设备的教室空气微生物采样效能验证报告</w:t>
          </w:r>
          <w:r>
            <w:tab/>
          </w:r>
          <w:r>
            <w:fldChar w:fldCharType="begin"/>
          </w:r>
          <w:r>
            <w:instrText xml:space="preserve"> PAGEREF _Toc29172 \h </w:instrText>
          </w:r>
          <w:r>
            <w:fldChar w:fldCharType="separate"/>
          </w:r>
          <w:r>
            <w:t>13</w:t>
          </w:r>
          <w:r>
            <w:fldChar w:fldCharType="end"/>
          </w:r>
          <w:r>
            <w:rPr>
              <w:rFonts w:eastAsia="宋体" w:cs="Times New Roman"/>
              <w:szCs w:val="21"/>
              <w:lang w:val="zh-CN"/>
            </w:rPr>
            <w:fldChar w:fldCharType="end"/>
          </w:r>
        </w:p>
        <w:p w14:paraId="65627E06">
          <w:pPr>
            <w:pStyle w:val="18"/>
            <w:tabs>
              <w:tab w:val="right" w:leader="dot" w:pos="8306"/>
            </w:tabs>
          </w:pPr>
        </w:p>
        <w:p w14:paraId="79E9B863">
          <w:pPr>
            <w:spacing w:line="240" w:lineRule="auto"/>
            <w:jc w:val="center"/>
            <w:rPr>
              <w:rFonts w:eastAsia="宋体" w:cs="Times New Roman"/>
              <w:szCs w:val="20"/>
              <w:lang w:val="zh-CN"/>
            </w:rPr>
          </w:pPr>
          <w:r>
            <w:rPr>
              <w:rFonts w:eastAsia="宋体" w:cs="Times New Roman"/>
              <w:szCs w:val="21"/>
              <w:lang w:val="zh-CN"/>
            </w:rPr>
            <w:fldChar w:fldCharType="end"/>
          </w:r>
        </w:p>
      </w:sdtContent>
    </w:sdt>
    <w:p w14:paraId="26B121FA">
      <w:pPr>
        <w:jc w:val="center"/>
        <w:rPr>
          <w:rFonts w:eastAsia="宋体" w:cs="Times New Roman"/>
          <w:szCs w:val="20"/>
          <w:lang w:val="zh-CN"/>
        </w:rPr>
        <w:sectPr>
          <w:pgSz w:w="11906" w:h="16838"/>
          <w:pgMar w:top="1440" w:right="1800" w:bottom="1440" w:left="1800" w:header="851" w:footer="992" w:gutter="0"/>
          <w:cols w:space="425" w:num="1"/>
          <w:docGrid w:type="lines" w:linePitch="326" w:charSpace="0"/>
        </w:sectPr>
      </w:pPr>
    </w:p>
    <w:p w14:paraId="4CB1C1F8">
      <w:pPr>
        <w:jc w:val="center"/>
        <w:rPr>
          <w:rFonts w:eastAsia="宋体" w:cs="Times New Roman"/>
          <w:szCs w:val="20"/>
          <w:lang w:val="zh-CN"/>
        </w:rPr>
        <w:sectPr>
          <w:footerReference r:id="rId7" w:type="default"/>
          <w:pgSz w:w="11906" w:h="16838"/>
          <w:pgMar w:top="1440" w:right="1800" w:bottom="1440" w:left="1800" w:header="851" w:footer="992" w:gutter="0"/>
          <w:pgNumType w:fmt="decimal" w:start="1"/>
          <w:cols w:space="425" w:num="1"/>
          <w:docGrid w:type="lines" w:linePitch="326" w:charSpace="0"/>
        </w:sectPr>
      </w:pPr>
    </w:p>
    <w:p w14:paraId="15287880">
      <w:pPr>
        <w:pStyle w:val="2"/>
        <w:spacing w:before="0" w:after="0"/>
        <w:rPr>
          <w:sz w:val="28"/>
        </w:rPr>
      </w:pPr>
      <w:bookmarkStart w:id="1" w:name="_Toc67407043"/>
      <w:bookmarkStart w:id="2" w:name="_Toc981"/>
      <w:bookmarkStart w:id="3" w:name="_Toc8143"/>
      <w:bookmarkStart w:id="4" w:name="_Toc7477"/>
      <w:bookmarkStart w:id="5" w:name="_Toc26584"/>
      <w:bookmarkStart w:id="6" w:name="_Toc3299"/>
      <w:bookmarkStart w:id="7" w:name="_Toc17761"/>
      <w:bookmarkStart w:id="8" w:name="_Toc361"/>
      <w:bookmarkStart w:id="9" w:name="_Toc11216"/>
      <w:bookmarkStart w:id="10" w:name="_Toc24020"/>
      <w:bookmarkStart w:id="11" w:name="_Toc15609"/>
      <w:bookmarkStart w:id="12" w:name="_Toc204705120"/>
      <w:bookmarkStart w:id="13" w:name="_Toc739"/>
      <w:bookmarkStart w:id="14" w:name="_Toc1611"/>
      <w:bookmarkStart w:id="15" w:name="_Toc69553225"/>
      <w:bookmarkStart w:id="16" w:name="_Toc27512"/>
      <w:bookmarkStart w:id="17" w:name="_Toc24721"/>
      <w:bookmarkStart w:id="18" w:name="_Toc10050"/>
      <w:bookmarkStart w:id="19" w:name="_Toc91763190"/>
      <w:bookmarkStart w:id="20" w:name="_Toc67407044"/>
      <w:bookmarkStart w:id="21" w:name="_Toc91173558"/>
      <w:bookmarkStart w:id="22" w:name="_Toc69553226"/>
      <w:r>
        <w:rPr>
          <w:rFonts w:hint="eastAsia"/>
          <w:sz w:val="28"/>
        </w:rPr>
        <w:t>一、</w:t>
      </w:r>
      <w:bookmarkEnd w:id="1"/>
      <w:r>
        <w:rPr>
          <w:rFonts w:hint="eastAsia"/>
          <w:sz w:val="28"/>
        </w:rPr>
        <w:t>工作简况</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E9CAB55">
      <w:pPr>
        <w:pStyle w:val="3"/>
        <w:spacing w:before="156" w:after="156"/>
        <w:ind w:firstLine="482"/>
        <w:rPr>
          <w:rFonts w:cs="Times New Roman"/>
        </w:rPr>
      </w:pPr>
      <w:bookmarkStart w:id="23" w:name="_Toc20161"/>
      <w:bookmarkStart w:id="24" w:name="_Toc3819"/>
      <w:bookmarkStart w:id="25" w:name="_Toc16525"/>
      <w:bookmarkStart w:id="26" w:name="_Toc2876"/>
      <w:bookmarkStart w:id="27" w:name="_Toc8079"/>
      <w:bookmarkStart w:id="28" w:name="_Toc27606"/>
      <w:bookmarkStart w:id="29" w:name="_Toc5592"/>
      <w:bookmarkStart w:id="30" w:name="_Toc11569"/>
      <w:bookmarkStart w:id="31" w:name="_Toc30881"/>
      <w:bookmarkStart w:id="32" w:name="_Toc16696"/>
      <w:bookmarkStart w:id="33" w:name="_Toc7114"/>
      <w:bookmarkStart w:id="34" w:name="_Toc21537"/>
      <w:bookmarkStart w:id="35" w:name="_Toc14007"/>
      <w:bookmarkStart w:id="36" w:name="_Toc12068"/>
      <w:bookmarkStart w:id="37" w:name="_Toc24508"/>
      <w:r>
        <w:rPr>
          <w:rFonts w:hint="default" w:cs="Times New Roman"/>
        </w:rPr>
        <w:t>（一）任务来源</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Pr>
          <w:rFonts w:hint="default" w:cs="Times New Roman"/>
          <w:lang w:val="en-US" w:eastAsia="zh-CN"/>
        </w:rPr>
        <w:t>与项目编号</w:t>
      </w:r>
      <w:bookmarkEnd w:id="35"/>
      <w:bookmarkEnd w:id="36"/>
      <w:bookmarkEnd w:id="37"/>
    </w:p>
    <w:p w14:paraId="5235B4C7">
      <w:pPr>
        <w:adjustRightInd w:val="0"/>
        <w:snapToGrid w:val="0"/>
        <w:spacing w:line="240" w:lineRule="auto"/>
        <w:ind w:firstLine="480" w:firstLineChars="200"/>
        <w:rPr>
          <w:rFonts w:hint="default" w:eastAsia="仿宋" w:cs="Times New Roman"/>
          <w:szCs w:val="24"/>
          <w:lang w:val="en-US" w:eastAsia="zh-CN"/>
        </w:rPr>
      </w:pPr>
      <w:bookmarkStart w:id="38" w:name="OLE_LINK9"/>
      <w:bookmarkStart w:id="39" w:name="OLE_LINK5"/>
      <w:r>
        <w:rPr>
          <w:rFonts w:hint="eastAsia" w:cs="Times New Roman"/>
          <w:szCs w:val="24"/>
        </w:rPr>
        <w:t>2025年</w:t>
      </w:r>
      <w:r>
        <w:rPr>
          <w:rFonts w:hint="eastAsia" w:cs="Times New Roman"/>
          <w:szCs w:val="24"/>
          <w:lang w:val="en-US" w:eastAsia="zh-CN"/>
        </w:rPr>
        <w:t>8</w:t>
      </w:r>
      <w:r>
        <w:rPr>
          <w:rFonts w:hint="eastAsia" w:cs="Times New Roman"/>
          <w:szCs w:val="24"/>
        </w:rPr>
        <w:t>月</w:t>
      </w:r>
      <w:r>
        <w:rPr>
          <w:rFonts w:hint="eastAsia" w:cs="Times New Roman"/>
          <w:szCs w:val="24"/>
          <w:lang w:val="en-US" w:eastAsia="zh-CN"/>
        </w:rPr>
        <w:t>1日</w:t>
      </w:r>
      <w:r>
        <w:rPr>
          <w:rFonts w:hint="eastAsia" w:cs="Times New Roman"/>
          <w:szCs w:val="24"/>
        </w:rPr>
        <w:t>，中国民族卫生协会民族医药卫生标准专业委员会</w:t>
      </w:r>
      <w:r>
        <w:rPr>
          <w:rFonts w:hint="eastAsia" w:cs="Times New Roman"/>
          <w:szCs w:val="24"/>
          <w:lang w:val="en-US" w:eastAsia="zh-CN"/>
        </w:rPr>
        <w:t>发布</w:t>
      </w:r>
      <w:r>
        <w:rPr>
          <w:rFonts w:hint="eastAsia" w:cs="Times New Roman"/>
          <w:szCs w:val="24"/>
        </w:rPr>
        <w:t>《</w:t>
      </w:r>
      <w:r>
        <w:rPr>
          <w:rFonts w:hint="eastAsia" w:cs="Times New Roman"/>
          <w:szCs w:val="24"/>
          <w:lang w:val="en-US" w:eastAsia="zh-CN"/>
        </w:rPr>
        <w:t>教室</w:t>
      </w:r>
      <w:r>
        <w:rPr>
          <w:rFonts w:hint="eastAsia" w:cs="Times New Roman"/>
          <w:szCs w:val="24"/>
        </w:rPr>
        <w:t>室内空气病原体现场智能采样技术指南》</w:t>
      </w:r>
      <w:bookmarkEnd w:id="38"/>
      <w:bookmarkEnd w:id="39"/>
      <w:r>
        <w:rPr>
          <w:rFonts w:hint="eastAsia" w:cs="Times New Roman"/>
          <w:szCs w:val="24"/>
          <w:lang w:val="en-US" w:eastAsia="zh-CN"/>
        </w:rPr>
        <w:t>立项。</w:t>
      </w:r>
    </w:p>
    <w:p w14:paraId="10534A8E">
      <w:pPr>
        <w:pStyle w:val="3"/>
        <w:spacing w:before="156" w:after="156"/>
        <w:ind w:firstLine="482"/>
        <w:rPr>
          <w:rFonts w:hint="default" w:eastAsia="仿宋" w:cs="Times New Roman"/>
          <w:lang w:val="en-US" w:eastAsia="zh-CN"/>
        </w:rPr>
      </w:pPr>
      <w:bookmarkStart w:id="40" w:name="_Toc91173559"/>
      <w:bookmarkStart w:id="41" w:name="_Toc91763191"/>
      <w:bookmarkStart w:id="42" w:name="_Toc23863"/>
      <w:bookmarkStart w:id="43" w:name="_Toc12673"/>
      <w:bookmarkStart w:id="44" w:name="_Toc1872"/>
      <w:bookmarkStart w:id="45" w:name="_Toc5868"/>
      <w:bookmarkStart w:id="46" w:name="_Toc32524"/>
      <w:bookmarkStart w:id="47" w:name="_Toc30265"/>
      <w:bookmarkStart w:id="48" w:name="_Toc32404"/>
      <w:bookmarkStart w:id="49" w:name="_Toc21212"/>
      <w:bookmarkStart w:id="50" w:name="_Toc9815"/>
      <w:bookmarkStart w:id="51" w:name="_Toc4580"/>
      <w:bookmarkStart w:id="52" w:name="_Toc18623"/>
      <w:bookmarkStart w:id="53" w:name="_Toc21689"/>
      <w:bookmarkStart w:id="54" w:name="_Toc7111"/>
      <w:bookmarkStart w:id="55" w:name="_Toc13447"/>
      <w:bookmarkStart w:id="56" w:name="_Toc12926"/>
      <w:r>
        <w:rPr>
          <w:rFonts w:hint="default" w:cs="Times New Roman"/>
        </w:rPr>
        <w:t>（二）</w:t>
      </w:r>
      <w:r>
        <w:rPr>
          <w:rFonts w:hint="default" w:cs="Times New Roman"/>
          <w:lang w:val="en-US" w:eastAsia="zh-CN"/>
        </w:rPr>
        <w:t>参与协作单位、</w:t>
      </w:r>
      <w:r>
        <w:rPr>
          <w:rFonts w:hint="default" w:cs="Times New Roman"/>
        </w:rPr>
        <w:t>起草人</w:t>
      </w:r>
      <w:bookmarkEnd w:id="40"/>
      <w:bookmarkEnd w:id="41"/>
      <w:r>
        <w:rPr>
          <w:rFonts w:hint="default" w:cs="Times New Roman"/>
        </w:rPr>
        <w:t>及其所</w:t>
      </w:r>
      <w:bookmarkEnd w:id="42"/>
      <w:bookmarkEnd w:id="43"/>
      <w:bookmarkEnd w:id="44"/>
      <w:bookmarkEnd w:id="45"/>
      <w:bookmarkEnd w:id="46"/>
      <w:bookmarkEnd w:id="47"/>
      <w:bookmarkEnd w:id="48"/>
      <w:bookmarkEnd w:id="49"/>
      <w:bookmarkEnd w:id="50"/>
      <w:bookmarkEnd w:id="51"/>
      <w:bookmarkEnd w:id="52"/>
      <w:bookmarkEnd w:id="53"/>
      <w:r>
        <w:rPr>
          <w:rFonts w:hint="default" w:cs="Times New Roman"/>
          <w:lang w:val="en-US" w:eastAsia="zh-CN"/>
        </w:rPr>
        <w:t>承担工作</w:t>
      </w:r>
      <w:bookmarkEnd w:id="54"/>
      <w:bookmarkEnd w:id="55"/>
      <w:bookmarkEnd w:id="56"/>
    </w:p>
    <w:p w14:paraId="75076FF7">
      <w:pPr>
        <w:adjustRightInd w:val="0"/>
        <w:snapToGrid w:val="0"/>
        <w:spacing w:line="240" w:lineRule="auto"/>
        <w:ind w:firstLine="480" w:firstLineChars="200"/>
        <w:rPr>
          <w:rFonts w:cs="Times New Roman"/>
          <w:szCs w:val="24"/>
        </w:rPr>
      </w:pPr>
      <w:r>
        <w:rPr>
          <w:rFonts w:hint="eastAsia" w:cs="Times New Roman"/>
          <w:szCs w:val="24"/>
        </w:rPr>
        <w:t>本标准负责起草单位：中国疾病预防控制中心环境与健康相关产品安全所，总体负责本标准的修订。</w:t>
      </w:r>
    </w:p>
    <w:p w14:paraId="232FA030">
      <w:pPr>
        <w:adjustRightInd w:val="0"/>
        <w:snapToGrid w:val="0"/>
        <w:spacing w:line="240" w:lineRule="auto"/>
        <w:ind w:firstLine="480" w:firstLineChars="200"/>
        <w:rPr>
          <w:rFonts w:cs="Times New Roman"/>
          <w:szCs w:val="24"/>
        </w:rPr>
      </w:pPr>
      <w:r>
        <w:rPr>
          <w:rFonts w:hint="eastAsia" w:cs="Times New Roman"/>
          <w:szCs w:val="24"/>
        </w:rPr>
        <w:t>本标准参加起草单位：北京大学、</w:t>
      </w:r>
      <w:r>
        <w:rPr>
          <w:rFonts w:hint="default" w:cs="Times New Roman"/>
          <w:lang w:val="en-US" w:eastAsia="zh-CN"/>
        </w:rPr>
        <w:t>安徽省疾病预防控制中心、合肥市疾病预防控制中心、</w:t>
      </w:r>
      <w:r>
        <w:rPr>
          <w:rFonts w:hint="eastAsia" w:cs="Times New Roman"/>
          <w:szCs w:val="24"/>
        </w:rPr>
        <w:t>北京工匠生物技术有限公司。</w:t>
      </w:r>
    </w:p>
    <w:p w14:paraId="52FBFCF9">
      <w:pPr>
        <w:adjustRightInd w:val="0"/>
        <w:snapToGrid w:val="0"/>
        <w:spacing w:line="240" w:lineRule="auto"/>
        <w:ind w:firstLine="480" w:firstLineChars="200"/>
        <w:rPr>
          <w:rFonts w:cs="Times New Roman"/>
          <w:szCs w:val="24"/>
        </w:rPr>
      </w:pPr>
      <w:r>
        <w:rPr>
          <w:rFonts w:hint="eastAsia" w:cs="Times New Roman"/>
          <w:szCs w:val="24"/>
        </w:rPr>
        <w:t>本文件主要起草人：</w:t>
      </w:r>
      <w:bookmarkStart w:id="57" w:name="OLE_LINK8"/>
      <w:r>
        <w:rPr>
          <w:rFonts w:hint="eastAsia" w:cs="Times New Roman"/>
          <w:szCs w:val="24"/>
        </w:rPr>
        <w:t>李莉</w:t>
      </w:r>
      <w:r>
        <w:rPr>
          <w:rFonts w:hint="eastAsia" w:cs="Times New Roman"/>
          <w:szCs w:val="24"/>
          <w:lang w:eastAsia="zh-CN"/>
        </w:rPr>
        <w:t>、</w:t>
      </w:r>
      <w:r>
        <w:rPr>
          <w:rFonts w:hint="eastAsia" w:cs="Times New Roman"/>
          <w:szCs w:val="24"/>
        </w:rPr>
        <w:t>王先良、</w:t>
      </w:r>
      <w:r>
        <w:rPr>
          <w:rFonts w:hint="eastAsia" w:cs="Times New Roman"/>
          <w:szCs w:val="24"/>
          <w:lang w:val="en-US" w:eastAsia="zh-CN"/>
        </w:rPr>
        <w:t>要茂盛</w:t>
      </w:r>
      <w:bookmarkEnd w:id="57"/>
      <w:r>
        <w:rPr>
          <w:rFonts w:hint="eastAsia" w:cs="Times New Roman"/>
          <w:szCs w:val="24"/>
          <w:lang w:val="en-US" w:eastAsia="zh-CN"/>
        </w:rPr>
        <w:t>、徐艳龙、肖长春、高苗</w:t>
      </w:r>
      <w:r>
        <w:rPr>
          <w:rFonts w:hint="eastAsia" w:cs="Times New Roman"/>
          <w:szCs w:val="24"/>
        </w:rPr>
        <w:t>。</w:t>
      </w:r>
    </w:p>
    <w:p w14:paraId="278D6163">
      <w:pPr>
        <w:adjustRightInd w:val="0"/>
        <w:snapToGrid w:val="0"/>
        <w:spacing w:line="240" w:lineRule="auto"/>
        <w:ind w:firstLine="480" w:firstLineChars="200"/>
        <w:rPr>
          <w:rFonts w:cs="Times New Roman"/>
          <w:szCs w:val="24"/>
        </w:rPr>
      </w:pPr>
      <w:r>
        <w:rPr>
          <w:rFonts w:hint="eastAsia" w:cs="Times New Roman"/>
          <w:szCs w:val="24"/>
        </w:rPr>
        <w:t>各起草人承担的工作如下：</w:t>
      </w:r>
    </w:p>
    <w:p w14:paraId="16CBCC14">
      <w:pPr>
        <w:adjustRightInd w:val="0"/>
        <w:snapToGrid w:val="0"/>
        <w:spacing w:line="240" w:lineRule="auto"/>
        <w:ind w:firstLine="480" w:firstLineChars="200"/>
        <w:rPr>
          <w:rFonts w:cs="Times New Roman"/>
          <w:szCs w:val="24"/>
        </w:rPr>
      </w:pPr>
      <w:r>
        <w:rPr>
          <w:rFonts w:hint="eastAsia" w:cs="Times New Roman"/>
          <w:szCs w:val="24"/>
          <w:lang w:val="en-US" w:eastAsia="zh-CN"/>
        </w:rPr>
        <w:t>李莉</w:t>
      </w:r>
      <w:r>
        <w:rPr>
          <w:rFonts w:hint="eastAsia" w:cs="Times New Roman"/>
          <w:szCs w:val="24"/>
        </w:rPr>
        <w:t>，中国疾病预防控制中心环境与健康相关产品安全所。负责本文件结构框架制订、组织编写标准</w:t>
      </w:r>
      <w:r>
        <w:rPr>
          <w:rFonts w:hint="eastAsia" w:cs="Times New Roman"/>
          <w:szCs w:val="24"/>
          <w:lang w:val="en-US" w:eastAsia="zh-CN"/>
        </w:rPr>
        <w:t>文</w:t>
      </w:r>
      <w:r>
        <w:rPr>
          <w:rFonts w:hint="eastAsia" w:cs="Times New Roman"/>
          <w:szCs w:val="24"/>
        </w:rPr>
        <w:t>稿、编制说明</w:t>
      </w:r>
      <w:r>
        <w:rPr>
          <w:rFonts w:hint="eastAsia" w:cs="Times New Roman"/>
          <w:szCs w:val="24"/>
          <w:lang w:val="en-US" w:eastAsia="zh-CN"/>
        </w:rPr>
        <w:t>及</w:t>
      </w:r>
      <w:r>
        <w:rPr>
          <w:rFonts w:hint="eastAsia" w:cs="Times New Roman"/>
          <w:szCs w:val="24"/>
        </w:rPr>
        <w:t>标准解读等相关文件</w:t>
      </w:r>
      <w:r>
        <w:rPr>
          <w:rFonts w:hint="eastAsia" w:cs="Times New Roman"/>
          <w:szCs w:val="24"/>
          <w:lang w:eastAsia="zh-CN"/>
        </w:rPr>
        <w:t>，</w:t>
      </w:r>
      <w:r>
        <w:rPr>
          <w:rFonts w:hint="eastAsia" w:cs="Times New Roman"/>
          <w:szCs w:val="24"/>
          <w:lang w:val="en-US" w:eastAsia="zh-CN"/>
        </w:rPr>
        <w:t>负责开展技术方法现场验证工作</w:t>
      </w:r>
      <w:r>
        <w:rPr>
          <w:rFonts w:hint="eastAsia" w:cs="Times New Roman"/>
          <w:szCs w:val="24"/>
        </w:rPr>
        <w:t>。为本项目总体负责人。</w:t>
      </w:r>
    </w:p>
    <w:p w14:paraId="684F374D">
      <w:pPr>
        <w:adjustRightInd w:val="0"/>
        <w:snapToGrid w:val="0"/>
        <w:spacing w:line="240" w:lineRule="auto"/>
        <w:ind w:firstLine="480" w:firstLineChars="200"/>
        <w:rPr>
          <w:rFonts w:hint="default" w:eastAsia="仿宋" w:cs="Times New Roman"/>
          <w:szCs w:val="24"/>
          <w:lang w:val="en-US" w:eastAsia="zh-CN"/>
        </w:rPr>
      </w:pPr>
      <w:r>
        <w:rPr>
          <w:rFonts w:hint="eastAsia" w:cs="Times New Roman"/>
          <w:szCs w:val="24"/>
          <w:lang w:val="en-US" w:eastAsia="zh-CN"/>
        </w:rPr>
        <w:t>王先良</w:t>
      </w:r>
      <w:r>
        <w:rPr>
          <w:rFonts w:hint="eastAsia" w:cs="Times New Roman"/>
          <w:szCs w:val="24"/>
        </w:rPr>
        <w:t>，中国疾病预防控制中心环境与健康相关产品安全所。负责本文件结构框架制订、修订工作方案制定、项目组织实施、技术材料审核</w:t>
      </w:r>
      <w:r>
        <w:rPr>
          <w:rFonts w:hint="eastAsia" w:cs="Times New Roman"/>
          <w:szCs w:val="24"/>
          <w:lang w:eastAsia="zh-CN"/>
        </w:rPr>
        <w:t>。</w:t>
      </w:r>
    </w:p>
    <w:p w14:paraId="33E36703">
      <w:pPr>
        <w:adjustRightInd w:val="0"/>
        <w:snapToGrid w:val="0"/>
        <w:spacing w:line="240" w:lineRule="auto"/>
        <w:ind w:firstLine="480" w:firstLineChars="200"/>
        <w:rPr>
          <w:rFonts w:cs="Times New Roman"/>
          <w:szCs w:val="24"/>
        </w:rPr>
      </w:pPr>
      <w:r>
        <w:rPr>
          <w:rFonts w:hint="eastAsia" w:cs="Times New Roman"/>
          <w:szCs w:val="24"/>
          <w:lang w:val="en-US" w:eastAsia="zh-CN"/>
        </w:rPr>
        <w:t>要茂盛</w:t>
      </w:r>
      <w:r>
        <w:rPr>
          <w:rFonts w:hint="eastAsia" w:cs="Times New Roman"/>
          <w:szCs w:val="24"/>
        </w:rPr>
        <w:t>，</w:t>
      </w:r>
      <w:r>
        <w:rPr>
          <w:rFonts w:hint="eastAsia" w:cs="Times New Roman"/>
          <w:szCs w:val="24"/>
          <w:lang w:val="en-US" w:eastAsia="zh-CN"/>
        </w:rPr>
        <w:t>北京大学</w:t>
      </w:r>
      <w:r>
        <w:rPr>
          <w:rFonts w:hint="eastAsia" w:cs="Times New Roman"/>
          <w:szCs w:val="24"/>
        </w:rPr>
        <w:t>。主要负责适用范围、规范性引用文件、术语定义的修订，参与</w:t>
      </w:r>
      <w:r>
        <w:rPr>
          <w:rFonts w:hint="eastAsia" w:cs="Times New Roman"/>
          <w:szCs w:val="24"/>
          <w:lang w:val="en-US" w:eastAsia="zh-CN"/>
        </w:rPr>
        <w:t>技术设备研发</w:t>
      </w:r>
      <w:r>
        <w:rPr>
          <w:rFonts w:hint="eastAsia" w:cs="Times New Roman"/>
          <w:szCs w:val="24"/>
        </w:rPr>
        <w:t>、标准</w:t>
      </w:r>
      <w:r>
        <w:rPr>
          <w:rFonts w:hint="eastAsia" w:cs="Times New Roman"/>
          <w:szCs w:val="24"/>
          <w:lang w:val="en-US" w:eastAsia="zh-CN"/>
        </w:rPr>
        <w:t>文</w:t>
      </w:r>
      <w:r>
        <w:rPr>
          <w:rFonts w:hint="eastAsia" w:cs="Times New Roman"/>
          <w:szCs w:val="24"/>
        </w:rPr>
        <w:t>稿</w:t>
      </w:r>
      <w:r>
        <w:rPr>
          <w:rFonts w:hint="eastAsia" w:cs="Times New Roman"/>
          <w:szCs w:val="24"/>
          <w:lang w:val="en-US" w:eastAsia="zh-CN"/>
        </w:rPr>
        <w:t>和</w:t>
      </w:r>
      <w:r>
        <w:rPr>
          <w:rFonts w:hint="eastAsia" w:cs="Times New Roman"/>
          <w:szCs w:val="24"/>
        </w:rPr>
        <w:t>编制说明的讨论和修改。</w:t>
      </w:r>
    </w:p>
    <w:p w14:paraId="5F1A7C2B">
      <w:pPr>
        <w:adjustRightInd w:val="0"/>
        <w:snapToGrid w:val="0"/>
        <w:spacing w:line="240" w:lineRule="auto"/>
        <w:ind w:firstLine="480" w:firstLineChars="200"/>
        <w:rPr>
          <w:rFonts w:cs="Times New Roman"/>
          <w:szCs w:val="24"/>
        </w:rPr>
      </w:pPr>
      <w:r>
        <w:rPr>
          <w:rFonts w:hint="eastAsia" w:cs="Times New Roman"/>
          <w:szCs w:val="24"/>
          <w:lang w:val="en-US" w:eastAsia="zh-CN"/>
        </w:rPr>
        <w:t>徐艳龙</w:t>
      </w:r>
      <w:r>
        <w:rPr>
          <w:rFonts w:hint="eastAsia" w:cs="Times New Roman"/>
          <w:szCs w:val="24"/>
        </w:rPr>
        <w:t>，</w:t>
      </w:r>
      <w:r>
        <w:rPr>
          <w:rFonts w:hint="eastAsia" w:cs="Times New Roman"/>
          <w:szCs w:val="24"/>
          <w:lang w:val="en-US" w:eastAsia="zh-CN"/>
        </w:rPr>
        <w:t>安徽</w:t>
      </w:r>
      <w:r>
        <w:rPr>
          <w:rFonts w:hint="eastAsia" w:cs="Times New Roman"/>
          <w:szCs w:val="24"/>
        </w:rPr>
        <w:t>省疾病预防控制中心。主要负责</w:t>
      </w:r>
      <w:r>
        <w:rPr>
          <w:rFonts w:hint="eastAsia" w:cs="Times New Roman"/>
          <w:szCs w:val="24"/>
          <w:lang w:val="en-US" w:eastAsia="zh-CN"/>
        </w:rPr>
        <w:t>技术设备现场验证、评估报告编写</w:t>
      </w:r>
      <w:r>
        <w:rPr>
          <w:rFonts w:hint="eastAsia" w:cs="Times New Roman"/>
          <w:szCs w:val="24"/>
        </w:rPr>
        <w:t>，参与标准</w:t>
      </w:r>
      <w:r>
        <w:rPr>
          <w:rFonts w:hint="eastAsia" w:cs="Times New Roman"/>
          <w:szCs w:val="24"/>
          <w:lang w:val="en-US" w:eastAsia="zh-CN"/>
        </w:rPr>
        <w:t>文</w:t>
      </w:r>
      <w:r>
        <w:rPr>
          <w:rFonts w:hint="eastAsia" w:cs="Times New Roman"/>
          <w:szCs w:val="24"/>
        </w:rPr>
        <w:t>稿</w:t>
      </w:r>
      <w:r>
        <w:rPr>
          <w:rFonts w:hint="eastAsia" w:cs="Times New Roman"/>
          <w:szCs w:val="24"/>
          <w:lang w:val="en-US" w:eastAsia="zh-CN"/>
        </w:rPr>
        <w:t>和</w:t>
      </w:r>
      <w:r>
        <w:rPr>
          <w:rFonts w:hint="eastAsia" w:cs="Times New Roman"/>
          <w:szCs w:val="24"/>
        </w:rPr>
        <w:t>编制说明的讨论和修改。</w:t>
      </w:r>
    </w:p>
    <w:p w14:paraId="66FC4D80">
      <w:pPr>
        <w:adjustRightInd w:val="0"/>
        <w:snapToGrid w:val="0"/>
        <w:spacing w:line="240" w:lineRule="auto"/>
        <w:ind w:firstLine="480" w:firstLineChars="200"/>
        <w:rPr>
          <w:rFonts w:cs="Times New Roman"/>
          <w:szCs w:val="24"/>
        </w:rPr>
      </w:pPr>
      <w:r>
        <w:rPr>
          <w:rFonts w:hint="eastAsia" w:cs="Times New Roman"/>
          <w:szCs w:val="24"/>
          <w:lang w:val="en-US" w:eastAsia="zh-CN"/>
        </w:rPr>
        <w:t>肖长春</w:t>
      </w:r>
      <w:r>
        <w:rPr>
          <w:rFonts w:hint="eastAsia" w:cs="Times New Roman"/>
          <w:szCs w:val="24"/>
        </w:rPr>
        <w:t>，</w:t>
      </w:r>
      <w:r>
        <w:rPr>
          <w:rFonts w:hint="default" w:cs="Times New Roman"/>
          <w:lang w:val="en-US" w:eastAsia="zh-CN"/>
        </w:rPr>
        <w:t>合肥市疾病预防控制中心</w:t>
      </w:r>
      <w:r>
        <w:rPr>
          <w:rFonts w:hint="eastAsia" w:cs="Times New Roman"/>
          <w:szCs w:val="24"/>
        </w:rPr>
        <w:t>。主要负责</w:t>
      </w:r>
      <w:r>
        <w:rPr>
          <w:rFonts w:hint="eastAsia" w:cs="Times New Roman"/>
          <w:szCs w:val="24"/>
          <w:lang w:val="en-US" w:eastAsia="zh-CN"/>
        </w:rPr>
        <w:t>技术设备现场验证、评估报告编写</w:t>
      </w:r>
      <w:r>
        <w:rPr>
          <w:rFonts w:hint="eastAsia" w:cs="Times New Roman"/>
          <w:szCs w:val="24"/>
        </w:rPr>
        <w:t>，参与标准</w:t>
      </w:r>
      <w:r>
        <w:rPr>
          <w:rFonts w:hint="eastAsia" w:cs="Times New Roman"/>
          <w:szCs w:val="24"/>
          <w:lang w:val="en-US" w:eastAsia="zh-CN"/>
        </w:rPr>
        <w:t>文</w:t>
      </w:r>
      <w:r>
        <w:rPr>
          <w:rFonts w:hint="eastAsia" w:cs="Times New Roman"/>
          <w:szCs w:val="24"/>
        </w:rPr>
        <w:t>稿</w:t>
      </w:r>
      <w:r>
        <w:rPr>
          <w:rFonts w:hint="eastAsia" w:cs="Times New Roman"/>
          <w:szCs w:val="24"/>
          <w:lang w:val="en-US" w:eastAsia="zh-CN"/>
        </w:rPr>
        <w:t>和</w:t>
      </w:r>
      <w:r>
        <w:rPr>
          <w:rFonts w:hint="eastAsia" w:cs="Times New Roman"/>
          <w:szCs w:val="24"/>
        </w:rPr>
        <w:t>编制说明的讨论和修改。</w:t>
      </w:r>
    </w:p>
    <w:p w14:paraId="1214EAB7">
      <w:pPr>
        <w:adjustRightInd w:val="0"/>
        <w:snapToGrid w:val="0"/>
        <w:spacing w:line="240" w:lineRule="auto"/>
        <w:ind w:firstLine="480" w:firstLineChars="200"/>
        <w:rPr>
          <w:rFonts w:cs="Times New Roman"/>
          <w:szCs w:val="24"/>
        </w:rPr>
      </w:pPr>
      <w:bookmarkStart w:id="58" w:name="_Toc67407048"/>
      <w:bookmarkStart w:id="59" w:name="_Toc91763193"/>
      <w:bookmarkStart w:id="60" w:name="_Toc91173561"/>
      <w:bookmarkStart w:id="61" w:name="_Toc69553229"/>
      <w:r>
        <w:rPr>
          <w:rFonts w:hint="eastAsia" w:cs="Times New Roman"/>
          <w:szCs w:val="24"/>
          <w:lang w:val="en-US" w:eastAsia="zh-CN"/>
        </w:rPr>
        <w:t>高苗，</w:t>
      </w:r>
      <w:r>
        <w:rPr>
          <w:rFonts w:hint="eastAsia" w:cs="Times New Roman"/>
          <w:szCs w:val="24"/>
        </w:rPr>
        <w:t>北京工匠生物技术有限公司</w:t>
      </w:r>
      <w:r>
        <w:rPr>
          <w:rFonts w:hint="eastAsia" w:cs="Times New Roman"/>
          <w:szCs w:val="24"/>
          <w:lang w:eastAsia="zh-CN"/>
        </w:rPr>
        <w:t>。</w:t>
      </w:r>
      <w:r>
        <w:rPr>
          <w:rFonts w:hint="eastAsia" w:cs="Times New Roman"/>
          <w:szCs w:val="24"/>
        </w:rPr>
        <w:t>主要负责</w:t>
      </w:r>
      <w:r>
        <w:rPr>
          <w:rFonts w:hint="eastAsia" w:cs="Times New Roman"/>
          <w:szCs w:val="24"/>
          <w:lang w:val="en-US" w:eastAsia="zh-CN"/>
        </w:rPr>
        <w:t>技术设备现场验证、评估报告编写</w:t>
      </w:r>
      <w:r>
        <w:rPr>
          <w:rFonts w:hint="eastAsia" w:cs="Times New Roman"/>
          <w:szCs w:val="24"/>
        </w:rPr>
        <w:t>，参与标准</w:t>
      </w:r>
      <w:r>
        <w:rPr>
          <w:rFonts w:hint="eastAsia" w:cs="Times New Roman"/>
          <w:szCs w:val="24"/>
          <w:lang w:val="en-US" w:eastAsia="zh-CN"/>
        </w:rPr>
        <w:t>文</w:t>
      </w:r>
      <w:r>
        <w:rPr>
          <w:rFonts w:hint="eastAsia" w:cs="Times New Roman"/>
          <w:szCs w:val="24"/>
        </w:rPr>
        <w:t>稿</w:t>
      </w:r>
      <w:r>
        <w:rPr>
          <w:rFonts w:hint="eastAsia" w:cs="Times New Roman"/>
          <w:szCs w:val="24"/>
          <w:lang w:val="en-US" w:eastAsia="zh-CN"/>
        </w:rPr>
        <w:t>和</w:t>
      </w:r>
      <w:r>
        <w:rPr>
          <w:rFonts w:hint="eastAsia" w:cs="Times New Roman"/>
          <w:szCs w:val="24"/>
        </w:rPr>
        <w:t>编制说明的讨论和修改。</w:t>
      </w:r>
    </w:p>
    <w:p w14:paraId="12D485AB">
      <w:pPr>
        <w:pStyle w:val="3"/>
        <w:spacing w:before="156" w:after="156"/>
        <w:ind w:firstLine="482"/>
        <w:rPr>
          <w:rFonts w:cs="Times New Roman"/>
        </w:rPr>
      </w:pPr>
      <w:bookmarkStart w:id="62" w:name="_Toc12844"/>
      <w:bookmarkStart w:id="63" w:name="_Toc11563"/>
      <w:bookmarkStart w:id="64" w:name="_Toc23347"/>
      <w:bookmarkStart w:id="65" w:name="_Toc31655"/>
      <w:bookmarkStart w:id="66" w:name="_Toc914"/>
      <w:bookmarkStart w:id="67" w:name="_Toc7437"/>
      <w:bookmarkStart w:id="68" w:name="_Toc14235"/>
      <w:bookmarkStart w:id="69" w:name="_Toc16697"/>
      <w:bookmarkStart w:id="70" w:name="_Toc8775"/>
      <w:bookmarkStart w:id="71" w:name="_Toc1881"/>
      <w:bookmarkStart w:id="72" w:name="_Toc389"/>
      <w:bookmarkStart w:id="73" w:name="_Toc17993"/>
      <w:bookmarkStart w:id="74" w:name="_Toc12691"/>
      <w:bookmarkStart w:id="75" w:name="_Toc2751"/>
      <w:bookmarkStart w:id="76" w:name="_Toc32452"/>
      <w:r>
        <w:rPr>
          <w:rFonts w:hint="default" w:cs="Times New Roman"/>
        </w:rPr>
        <w:t>（三）起草过程</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015CFCE9">
      <w:pPr>
        <w:adjustRightInd w:val="0"/>
        <w:snapToGrid w:val="0"/>
        <w:spacing w:line="240" w:lineRule="auto"/>
        <w:ind w:firstLine="480" w:firstLineChars="200"/>
        <w:rPr>
          <w:rFonts w:cs="Times New Roman"/>
          <w:szCs w:val="24"/>
        </w:rPr>
      </w:pPr>
      <w:r>
        <w:rPr>
          <w:rFonts w:hint="eastAsia" w:cs="Times New Roman"/>
          <w:szCs w:val="24"/>
        </w:rPr>
        <w:t>为做好标准修订工作，在中国民族卫生协会民族医药卫生标准专业委员会正式发布标准修订立项通知之后，牵头单位组建了编制组，制定了实施方案，明确了任务分工及工作进度，</w:t>
      </w:r>
      <w:r>
        <w:rPr>
          <w:rFonts w:hint="eastAsia" w:cs="Times New Roman"/>
          <w:szCs w:val="24"/>
          <w:lang w:val="en-US" w:eastAsia="zh-CN"/>
        </w:rPr>
        <w:t>组内</w:t>
      </w:r>
      <w:r>
        <w:rPr>
          <w:rFonts w:hint="eastAsia" w:cs="Times New Roman"/>
          <w:szCs w:val="24"/>
        </w:rPr>
        <w:t>召开进度工作会议，及时交流，协作推进，较好地完成了标准修订任务。先后工作召开了5次修订组内工作会议。起草过程如下：</w:t>
      </w:r>
    </w:p>
    <w:p w14:paraId="61006BAC">
      <w:pPr>
        <w:adjustRightInd w:val="0"/>
        <w:snapToGrid w:val="0"/>
        <w:spacing w:line="240" w:lineRule="auto"/>
        <w:ind w:firstLine="480" w:firstLineChars="200"/>
        <w:rPr>
          <w:rFonts w:cs="Times New Roman"/>
          <w:szCs w:val="24"/>
        </w:rPr>
      </w:pPr>
      <w:r>
        <w:rPr>
          <w:rFonts w:hint="eastAsia" w:cs="Times New Roman"/>
          <w:szCs w:val="24"/>
        </w:rPr>
        <w:t>1.标准修订项目立项与任务下达</w:t>
      </w:r>
    </w:p>
    <w:p w14:paraId="129BB661">
      <w:pPr>
        <w:adjustRightInd w:val="0"/>
        <w:snapToGrid w:val="0"/>
        <w:spacing w:line="240" w:lineRule="auto"/>
        <w:ind w:firstLine="480" w:firstLineChars="200"/>
        <w:rPr>
          <w:rFonts w:cs="Times New Roman"/>
          <w:szCs w:val="24"/>
        </w:rPr>
      </w:pPr>
      <w:r>
        <w:rPr>
          <w:rFonts w:hint="eastAsia" w:cs="Times New Roman"/>
          <w:szCs w:val="24"/>
          <w:lang w:val="en-US" w:eastAsia="zh-CN"/>
        </w:rPr>
        <w:t>2025年8月</w:t>
      </w:r>
      <w:r>
        <w:rPr>
          <w:rFonts w:hint="eastAsia" w:cs="Times New Roman"/>
          <w:szCs w:val="24"/>
        </w:rPr>
        <w:t>，中国民族卫生协会民族医药卫生标准专业委员会正式发布标准修订立项。</w:t>
      </w:r>
    </w:p>
    <w:p w14:paraId="6F0CB958">
      <w:pPr>
        <w:adjustRightInd w:val="0"/>
        <w:snapToGrid w:val="0"/>
        <w:spacing w:line="240" w:lineRule="auto"/>
        <w:ind w:firstLine="480" w:firstLineChars="200"/>
        <w:rPr>
          <w:rFonts w:cs="Times New Roman"/>
          <w:szCs w:val="24"/>
        </w:rPr>
      </w:pPr>
      <w:r>
        <w:rPr>
          <w:rFonts w:hint="eastAsia" w:cs="Times New Roman"/>
          <w:szCs w:val="24"/>
        </w:rPr>
        <w:t>2.标准草案编写，形成征求意见稿</w:t>
      </w:r>
    </w:p>
    <w:p w14:paraId="1E85B0B3">
      <w:pPr>
        <w:adjustRightInd w:val="0"/>
        <w:snapToGrid w:val="0"/>
        <w:spacing w:line="240" w:lineRule="auto"/>
        <w:ind w:firstLine="480" w:firstLineChars="200"/>
        <w:rPr>
          <w:rFonts w:cs="Times New Roman"/>
          <w:szCs w:val="24"/>
        </w:rPr>
      </w:pPr>
      <w:r>
        <w:rPr>
          <w:rFonts w:hint="eastAsia" w:cs="Times New Roman"/>
          <w:szCs w:val="24"/>
        </w:rPr>
        <w:t>2025年</w:t>
      </w:r>
      <w:r>
        <w:rPr>
          <w:rFonts w:hint="eastAsia" w:cs="Times New Roman"/>
          <w:szCs w:val="24"/>
          <w:lang w:val="en-US" w:eastAsia="zh-CN"/>
        </w:rPr>
        <w:t>9</w:t>
      </w:r>
      <w:r>
        <w:rPr>
          <w:rFonts w:hint="eastAsia" w:cs="Times New Roman"/>
          <w:szCs w:val="24"/>
        </w:rPr>
        <w:t>月，标准修订工作启动。本标准修订项目负责人组织召开了标准修订启动会，明确了标准修订技术要点，形成了任务分工和实施方案，建立了起草工作群，正式启动本标准修订工作。</w:t>
      </w:r>
    </w:p>
    <w:p w14:paraId="0F1A18E1">
      <w:pPr>
        <w:adjustRightInd w:val="0"/>
        <w:snapToGrid w:val="0"/>
        <w:spacing w:line="240" w:lineRule="auto"/>
        <w:ind w:firstLine="480" w:firstLineChars="200"/>
        <w:rPr>
          <w:rFonts w:cs="Times New Roman"/>
          <w:szCs w:val="24"/>
        </w:rPr>
      </w:pPr>
      <w:r>
        <w:rPr>
          <w:rFonts w:hint="eastAsia" w:cs="Times New Roman"/>
          <w:szCs w:val="24"/>
        </w:rPr>
        <w:t>2025年</w:t>
      </w:r>
      <w:r>
        <w:rPr>
          <w:rFonts w:hint="eastAsia" w:cs="Times New Roman"/>
          <w:szCs w:val="24"/>
          <w:lang w:val="en-US" w:eastAsia="zh-CN"/>
        </w:rPr>
        <w:t>12</w:t>
      </w:r>
      <w:r>
        <w:rPr>
          <w:rFonts w:hint="eastAsia" w:cs="Times New Roman"/>
          <w:szCs w:val="24"/>
        </w:rPr>
        <w:t>月，修订组</w:t>
      </w:r>
      <w:r>
        <w:rPr>
          <w:rFonts w:hint="eastAsia" w:cs="Times New Roman"/>
          <w:szCs w:val="24"/>
          <w:lang w:val="en-US" w:eastAsia="zh-CN"/>
        </w:rPr>
        <w:t>在北京大学</w:t>
      </w:r>
      <w:r>
        <w:rPr>
          <w:rFonts w:hint="eastAsia" w:cs="Times New Roman"/>
          <w:szCs w:val="24"/>
        </w:rPr>
        <w:t>召开组内</w:t>
      </w:r>
      <w:r>
        <w:rPr>
          <w:rFonts w:hint="eastAsia" w:cs="Times New Roman"/>
          <w:szCs w:val="24"/>
          <w:lang w:val="en-US" w:eastAsia="zh-CN"/>
        </w:rPr>
        <w:t>现场</w:t>
      </w:r>
      <w:r>
        <w:rPr>
          <w:rFonts w:hint="eastAsia" w:cs="Times New Roman"/>
          <w:szCs w:val="24"/>
        </w:rPr>
        <w:t>会议，稳步推进工作。编制组完成《大流量气溶胶采样技术对空气微生物的采集效果评价现场研究简报》。形成标准工作组讨论稿（修改稿）和编制说明初稿。</w:t>
      </w:r>
    </w:p>
    <w:p w14:paraId="5B395370">
      <w:pPr>
        <w:adjustRightInd w:val="0"/>
        <w:snapToGrid w:val="0"/>
        <w:spacing w:line="240" w:lineRule="auto"/>
        <w:ind w:firstLine="480" w:firstLineChars="200"/>
        <w:rPr>
          <w:rFonts w:cs="Times New Roman"/>
          <w:szCs w:val="24"/>
        </w:rPr>
      </w:pPr>
      <w:r>
        <w:rPr>
          <w:rFonts w:hint="eastAsia" w:cs="Times New Roman"/>
          <w:szCs w:val="24"/>
        </w:rPr>
        <w:t>202</w:t>
      </w:r>
      <w:r>
        <w:rPr>
          <w:rFonts w:hint="eastAsia" w:cs="Times New Roman"/>
          <w:szCs w:val="24"/>
          <w:lang w:val="en-US" w:eastAsia="zh-CN"/>
        </w:rPr>
        <w:t>6</w:t>
      </w:r>
      <w:r>
        <w:rPr>
          <w:rFonts w:hint="eastAsia" w:cs="Times New Roman"/>
          <w:szCs w:val="24"/>
        </w:rPr>
        <w:t>年</w:t>
      </w:r>
      <w:r>
        <w:rPr>
          <w:rFonts w:hint="eastAsia" w:cs="Times New Roman"/>
          <w:szCs w:val="24"/>
          <w:lang w:val="en-US" w:eastAsia="zh-CN"/>
        </w:rPr>
        <w:t xml:space="preserve"> </w:t>
      </w:r>
      <w:r>
        <w:rPr>
          <w:rFonts w:hint="eastAsia" w:cs="Times New Roman"/>
          <w:szCs w:val="24"/>
        </w:rPr>
        <w:t>月</w:t>
      </w:r>
      <w:r>
        <w:rPr>
          <w:rFonts w:hint="eastAsia" w:cs="Times New Roman"/>
          <w:szCs w:val="24"/>
          <w:lang w:val="en-US" w:eastAsia="zh-CN"/>
        </w:rPr>
        <w:t xml:space="preserve"> </w:t>
      </w:r>
      <w:r>
        <w:rPr>
          <w:rFonts w:hint="eastAsia" w:cs="Times New Roman"/>
          <w:szCs w:val="24"/>
        </w:rPr>
        <w:t>日，召开专家评审会，广泛征求专家意见。会上针对标准内容逐一讨论，形成工作组讨论稿（征求意见稿）。</w:t>
      </w:r>
    </w:p>
    <w:p w14:paraId="01B019B2">
      <w:pPr>
        <w:adjustRightInd w:val="0"/>
        <w:snapToGrid w:val="0"/>
        <w:spacing w:line="240" w:lineRule="auto"/>
        <w:ind w:firstLine="480" w:firstLineChars="200"/>
        <w:rPr>
          <w:rFonts w:cs="Times New Roman"/>
          <w:szCs w:val="24"/>
        </w:rPr>
      </w:pPr>
      <w:r>
        <w:rPr>
          <w:rFonts w:hint="eastAsia" w:cs="Times New Roman"/>
          <w:szCs w:val="24"/>
        </w:rPr>
        <w:t>202</w:t>
      </w:r>
      <w:r>
        <w:rPr>
          <w:rFonts w:hint="eastAsia" w:cs="Times New Roman"/>
          <w:szCs w:val="24"/>
          <w:lang w:val="en-US" w:eastAsia="zh-CN"/>
        </w:rPr>
        <w:t>6</w:t>
      </w:r>
      <w:r>
        <w:rPr>
          <w:rFonts w:hint="eastAsia" w:cs="Times New Roman"/>
          <w:szCs w:val="24"/>
        </w:rPr>
        <w:t>年</w:t>
      </w:r>
      <w:r>
        <w:rPr>
          <w:rFonts w:hint="eastAsia" w:cs="Times New Roman"/>
          <w:szCs w:val="24"/>
          <w:lang w:val="en-US" w:eastAsia="zh-CN"/>
        </w:rPr>
        <w:t xml:space="preserve"> </w:t>
      </w:r>
      <w:r>
        <w:rPr>
          <w:rFonts w:hint="eastAsia" w:cs="Times New Roman"/>
          <w:szCs w:val="24"/>
        </w:rPr>
        <w:t>月至202</w:t>
      </w:r>
      <w:r>
        <w:rPr>
          <w:rFonts w:hint="eastAsia" w:cs="Times New Roman"/>
          <w:szCs w:val="24"/>
          <w:lang w:val="en-US" w:eastAsia="zh-CN"/>
        </w:rPr>
        <w:t>6</w:t>
      </w:r>
      <w:r>
        <w:rPr>
          <w:rFonts w:hint="eastAsia" w:cs="Times New Roman"/>
          <w:szCs w:val="24"/>
        </w:rPr>
        <w:t>年</w:t>
      </w:r>
      <w:r>
        <w:rPr>
          <w:rFonts w:hint="eastAsia" w:cs="Times New Roman"/>
          <w:szCs w:val="24"/>
          <w:lang w:val="en-US" w:eastAsia="zh-CN"/>
        </w:rPr>
        <w:t xml:space="preserve"> </w:t>
      </w:r>
      <w:r>
        <w:rPr>
          <w:rFonts w:hint="eastAsia" w:cs="Times New Roman"/>
          <w:szCs w:val="24"/>
        </w:rPr>
        <w:t>月，面向社会广泛征求意见。</w:t>
      </w:r>
    </w:p>
    <w:p w14:paraId="2AF5FAC2">
      <w:pPr>
        <w:adjustRightInd w:val="0"/>
        <w:snapToGrid w:val="0"/>
        <w:spacing w:line="240" w:lineRule="auto"/>
        <w:ind w:firstLine="480" w:firstLineChars="200"/>
        <w:rPr>
          <w:rFonts w:cs="Times New Roman"/>
          <w:szCs w:val="24"/>
        </w:rPr>
      </w:pPr>
      <w:r>
        <w:rPr>
          <w:rFonts w:hint="eastAsia" w:cs="Times New Roman"/>
          <w:szCs w:val="24"/>
        </w:rPr>
        <w:t>202</w:t>
      </w:r>
      <w:r>
        <w:rPr>
          <w:rFonts w:hint="eastAsia" w:cs="Times New Roman"/>
          <w:szCs w:val="24"/>
          <w:lang w:val="en-US" w:eastAsia="zh-CN"/>
        </w:rPr>
        <w:t>6</w:t>
      </w:r>
      <w:r>
        <w:rPr>
          <w:rFonts w:hint="eastAsia" w:cs="Times New Roman"/>
          <w:szCs w:val="24"/>
        </w:rPr>
        <w:t>年</w:t>
      </w:r>
      <w:r>
        <w:rPr>
          <w:rFonts w:hint="eastAsia" w:cs="Times New Roman"/>
          <w:szCs w:val="24"/>
          <w:lang w:val="en-US" w:eastAsia="zh-CN"/>
        </w:rPr>
        <w:t>4</w:t>
      </w:r>
      <w:r>
        <w:rPr>
          <w:rFonts w:hint="eastAsia" w:cs="Times New Roman"/>
          <w:szCs w:val="24"/>
        </w:rPr>
        <w:t>月，整理汇总意见，形成报批稿。</w:t>
      </w:r>
    </w:p>
    <w:p w14:paraId="4CA6874F">
      <w:pPr>
        <w:adjustRightInd w:val="0"/>
        <w:snapToGrid w:val="0"/>
        <w:spacing w:line="240" w:lineRule="auto"/>
        <w:ind w:firstLine="480" w:firstLineChars="200"/>
        <w:rPr>
          <w:rFonts w:cs="Times New Roman"/>
          <w:szCs w:val="24"/>
        </w:rPr>
      </w:pPr>
      <w:r>
        <w:rPr>
          <w:rFonts w:hint="eastAsia" w:cs="Times New Roman"/>
          <w:szCs w:val="24"/>
        </w:rPr>
        <w:t>3.征求各有关单位意见，汇总讨论反馈意见</w:t>
      </w:r>
    </w:p>
    <w:p w14:paraId="26352044">
      <w:pPr>
        <w:adjustRightInd w:val="0"/>
        <w:snapToGrid w:val="0"/>
        <w:spacing w:line="240" w:lineRule="auto"/>
        <w:ind w:firstLine="480" w:firstLineChars="200"/>
        <w:rPr>
          <w:rFonts w:cs="Times New Roman"/>
          <w:szCs w:val="24"/>
        </w:rPr>
      </w:pPr>
      <w:r>
        <w:rPr>
          <w:rFonts w:hint="eastAsia" w:cs="Times New Roman"/>
          <w:szCs w:val="24"/>
        </w:rPr>
        <w:t>202</w:t>
      </w:r>
      <w:r>
        <w:rPr>
          <w:rFonts w:hint="eastAsia" w:cs="Times New Roman"/>
          <w:szCs w:val="24"/>
          <w:lang w:val="en-US" w:eastAsia="zh-CN"/>
        </w:rPr>
        <w:t>6</w:t>
      </w:r>
      <w:r>
        <w:rPr>
          <w:rFonts w:hint="eastAsia" w:cs="Times New Roman"/>
          <w:szCs w:val="24"/>
        </w:rPr>
        <w:t>年</w:t>
      </w:r>
      <w:r>
        <w:rPr>
          <w:rFonts w:hint="eastAsia" w:cs="Times New Roman"/>
          <w:szCs w:val="24"/>
          <w:lang w:val="en-US" w:eastAsia="zh-CN"/>
        </w:rPr>
        <w:t>5</w:t>
      </w:r>
      <w:r>
        <w:rPr>
          <w:rFonts w:hint="eastAsia" w:cs="Times New Roman"/>
          <w:szCs w:val="24"/>
        </w:rPr>
        <w:t>月，标准编制组以公开挂网和邮件的方式广泛公开地征求了意见，共征求了</w:t>
      </w:r>
      <w:r>
        <w:rPr>
          <w:rFonts w:hint="eastAsia" w:cs="Times New Roman"/>
          <w:szCs w:val="24"/>
          <w:lang w:val="en-US" w:eastAsia="zh-CN"/>
        </w:rPr>
        <w:t xml:space="preserve"> </w:t>
      </w:r>
      <w:r>
        <w:rPr>
          <w:rFonts w:hint="eastAsia" w:cs="Times New Roman"/>
          <w:szCs w:val="24"/>
        </w:rPr>
        <w:t>家单位和</w:t>
      </w:r>
      <w:r>
        <w:rPr>
          <w:rFonts w:hint="eastAsia" w:cs="Times New Roman"/>
          <w:szCs w:val="24"/>
          <w:lang w:val="en-US" w:eastAsia="zh-CN"/>
        </w:rPr>
        <w:t xml:space="preserve"> </w:t>
      </w:r>
      <w:r>
        <w:rPr>
          <w:rFonts w:hint="eastAsia" w:cs="Times New Roman"/>
          <w:szCs w:val="24"/>
        </w:rPr>
        <w:t>位个人的意见。收到回函</w:t>
      </w:r>
      <w:r>
        <w:rPr>
          <w:rFonts w:hint="eastAsia" w:cs="Times New Roman"/>
          <w:szCs w:val="24"/>
          <w:lang w:val="en-US" w:eastAsia="zh-CN"/>
        </w:rPr>
        <w:t xml:space="preserve"> </w:t>
      </w:r>
      <w:r>
        <w:rPr>
          <w:rFonts w:hint="eastAsia" w:cs="Times New Roman"/>
          <w:szCs w:val="24"/>
        </w:rPr>
        <w:t>份，回函中有意见</w:t>
      </w:r>
      <w:r>
        <w:rPr>
          <w:rFonts w:hint="eastAsia" w:cs="Times New Roman"/>
          <w:szCs w:val="24"/>
          <w:lang w:val="en-US" w:eastAsia="zh-CN"/>
        </w:rPr>
        <w:t xml:space="preserve"> </w:t>
      </w:r>
      <w:r>
        <w:rPr>
          <w:rFonts w:hint="eastAsia" w:cs="Times New Roman"/>
          <w:szCs w:val="24"/>
        </w:rPr>
        <w:t>份，共</w:t>
      </w:r>
      <w:r>
        <w:rPr>
          <w:rFonts w:hint="eastAsia" w:cs="Times New Roman"/>
          <w:szCs w:val="24"/>
          <w:lang w:val="en-US" w:eastAsia="zh-CN"/>
        </w:rPr>
        <w:t xml:space="preserve"> </w:t>
      </w:r>
      <w:r>
        <w:rPr>
          <w:rFonts w:hint="eastAsia" w:cs="Times New Roman"/>
          <w:szCs w:val="24"/>
        </w:rPr>
        <w:t>条，其中</w:t>
      </w:r>
      <w:r>
        <w:rPr>
          <w:rFonts w:hint="eastAsia" w:cs="Times New Roman"/>
          <w:szCs w:val="24"/>
          <w:lang w:val="en-US" w:eastAsia="zh-CN"/>
        </w:rPr>
        <w:t xml:space="preserve"> </w:t>
      </w:r>
      <w:r>
        <w:rPr>
          <w:rFonts w:hint="eastAsia" w:cs="Times New Roman"/>
          <w:szCs w:val="24"/>
        </w:rPr>
        <w:t>条意见已采纳，</w:t>
      </w:r>
      <w:r>
        <w:rPr>
          <w:rFonts w:hint="eastAsia" w:cs="Times New Roman"/>
          <w:szCs w:val="24"/>
          <w:lang w:val="en-US" w:eastAsia="zh-CN"/>
        </w:rPr>
        <w:t xml:space="preserve"> </w:t>
      </w:r>
      <w:r>
        <w:rPr>
          <w:rFonts w:hint="eastAsia" w:cs="Times New Roman"/>
          <w:szCs w:val="24"/>
        </w:rPr>
        <w:t>条意见部分采纳，</w:t>
      </w:r>
      <w:r>
        <w:rPr>
          <w:rFonts w:hint="eastAsia" w:cs="Times New Roman"/>
          <w:szCs w:val="24"/>
          <w:lang w:val="en-US" w:eastAsia="zh-CN"/>
        </w:rPr>
        <w:t xml:space="preserve"> </w:t>
      </w:r>
      <w:r>
        <w:rPr>
          <w:rFonts w:hint="eastAsia" w:cs="Times New Roman"/>
          <w:szCs w:val="24"/>
        </w:rPr>
        <w:t>条意见未采纳；无意见</w:t>
      </w:r>
      <w:r>
        <w:rPr>
          <w:rFonts w:hint="eastAsia" w:cs="Times New Roman"/>
          <w:szCs w:val="24"/>
          <w:lang w:val="en-US" w:eastAsia="zh-CN"/>
        </w:rPr>
        <w:t xml:space="preserve"> </w:t>
      </w:r>
      <w:r>
        <w:rPr>
          <w:rFonts w:hint="eastAsia" w:cs="Times New Roman"/>
          <w:szCs w:val="24"/>
        </w:rPr>
        <w:t>份。</w:t>
      </w:r>
    </w:p>
    <w:p w14:paraId="324868F8">
      <w:pPr>
        <w:adjustRightInd w:val="0"/>
        <w:snapToGrid w:val="0"/>
        <w:spacing w:line="240" w:lineRule="auto"/>
        <w:ind w:firstLine="480" w:firstLineChars="200"/>
        <w:rPr>
          <w:rFonts w:hint="eastAsia" w:cs="Times New Roman"/>
          <w:szCs w:val="24"/>
        </w:rPr>
      </w:pPr>
      <w:r>
        <w:rPr>
          <w:rFonts w:hint="eastAsia" w:cs="Times New Roman"/>
          <w:szCs w:val="24"/>
        </w:rPr>
        <w:t>4.标委会召开专家评审会，根据专家意见再次对标准文本和编制说明进行修改</w:t>
      </w:r>
    </w:p>
    <w:p w14:paraId="14A0F75D">
      <w:pPr>
        <w:pStyle w:val="2"/>
        <w:spacing w:before="0" w:after="0"/>
        <w:rPr>
          <w:sz w:val="28"/>
        </w:rPr>
      </w:pPr>
      <w:bookmarkStart w:id="77" w:name="_Toc29925"/>
      <w:bookmarkStart w:id="78" w:name="_Toc25214"/>
      <w:bookmarkStart w:id="79" w:name="_Toc2812"/>
      <w:bookmarkStart w:id="80" w:name="_Toc16669"/>
      <w:bookmarkStart w:id="81" w:name="_Toc1075"/>
      <w:bookmarkStart w:id="82" w:name="_Toc9986"/>
      <w:bookmarkStart w:id="83" w:name="_Toc434"/>
      <w:bookmarkStart w:id="84" w:name="_Toc25482"/>
      <w:bookmarkStart w:id="85" w:name="_Toc1889"/>
      <w:bookmarkStart w:id="86" w:name="_Toc2595"/>
      <w:bookmarkStart w:id="87" w:name="_Toc20202"/>
      <w:bookmarkStart w:id="88" w:name="_Toc93656996"/>
      <w:bookmarkStart w:id="89" w:name="_Toc4585"/>
      <w:bookmarkStart w:id="90" w:name="_Toc67407051"/>
      <w:bookmarkStart w:id="91" w:name="_Toc22207"/>
      <w:bookmarkStart w:id="92" w:name="_Toc5647"/>
      <w:bookmarkStart w:id="93" w:name="_Toc8760"/>
      <w:bookmarkStart w:id="94" w:name="_Toc69553238"/>
      <w:bookmarkStart w:id="95" w:name="_Toc93656994"/>
      <w:bookmarkStart w:id="96" w:name="_Toc69553230"/>
      <w:bookmarkStart w:id="97" w:name="_Toc67407049"/>
      <w:r>
        <w:rPr>
          <w:rFonts w:hint="eastAsia"/>
          <w:sz w:val="28"/>
        </w:rPr>
        <w:t>二、与我国有关法律、法规、规章、规范性文件和其他标准的关系</w:t>
      </w:r>
      <w:bookmarkEnd w:id="77"/>
      <w:bookmarkEnd w:id="78"/>
      <w:bookmarkEnd w:id="79"/>
    </w:p>
    <w:p w14:paraId="0ABB5E60">
      <w:pPr>
        <w:adjustRightInd w:val="0"/>
        <w:snapToGrid w:val="0"/>
        <w:spacing w:line="240" w:lineRule="auto"/>
        <w:ind w:firstLine="480" w:firstLineChars="200"/>
        <w:rPr>
          <w:rFonts w:hint="eastAsia" w:cs="Times New Roman"/>
          <w:szCs w:val="24"/>
          <w:highlight w:val="none"/>
          <w:lang w:val="en-US" w:eastAsia="zh-CN"/>
        </w:rPr>
      </w:pPr>
      <w:r>
        <w:rPr>
          <w:rFonts w:hint="eastAsia" w:cs="Times New Roman"/>
          <w:szCs w:val="24"/>
        </w:rPr>
        <w:t>本</w:t>
      </w:r>
      <w:r>
        <w:rPr>
          <w:rFonts w:hint="eastAsia" w:cs="Times New Roman"/>
          <w:szCs w:val="24"/>
          <w:lang w:val="en-US" w:eastAsia="zh-CN"/>
        </w:rPr>
        <w:t>文件</w:t>
      </w:r>
      <w:r>
        <w:rPr>
          <w:rFonts w:hint="eastAsia" w:cs="Times New Roman"/>
          <w:szCs w:val="24"/>
        </w:rPr>
        <w:t>作为</w:t>
      </w:r>
      <w:r>
        <w:rPr>
          <w:rFonts w:hint="eastAsia" w:cs="Times New Roman"/>
          <w:szCs w:val="24"/>
          <w:lang w:val="en-US" w:eastAsia="zh-CN"/>
        </w:rPr>
        <w:t>团体</w:t>
      </w:r>
      <w:r>
        <w:rPr>
          <w:rFonts w:hint="eastAsia" w:cs="Times New Roman"/>
          <w:szCs w:val="24"/>
        </w:rPr>
        <w:t>标准，编写格式依据《标准化工作导则第1部分：标准化文件的结构和起草规则》（GB/T</w:t>
      </w:r>
      <w:r>
        <w:rPr>
          <w:rFonts w:cs="Times New Roman"/>
          <w:szCs w:val="24"/>
        </w:rPr>
        <w:t xml:space="preserve"> </w:t>
      </w:r>
      <w:r>
        <w:rPr>
          <w:rFonts w:hint="eastAsia" w:cs="Times New Roman"/>
          <w:szCs w:val="24"/>
        </w:rPr>
        <w:t>1.1—2020）给出的规则编写。</w:t>
      </w:r>
      <w:r>
        <w:rPr>
          <w:rFonts w:hint="eastAsia" w:cs="Times New Roman"/>
          <w:szCs w:val="24"/>
          <w:highlight w:val="none"/>
        </w:rPr>
        <w:t>本文件属于技术性团体标准，其制定严格遵守国家</w:t>
      </w:r>
      <w:r>
        <w:rPr>
          <w:rFonts w:hint="eastAsia" w:cs="Times New Roman"/>
          <w:szCs w:val="24"/>
          <w:highlight w:val="none"/>
          <w:lang w:val="en-US" w:eastAsia="zh-CN"/>
        </w:rPr>
        <w:t>相关法律法规，并与</w:t>
      </w:r>
      <w:r>
        <w:rPr>
          <w:rFonts w:hint="eastAsia" w:cs="Times New Roman"/>
          <w:szCs w:val="24"/>
          <w:highlight w:val="none"/>
        </w:rPr>
        <w:t>国家标准和技术规范体系</w:t>
      </w:r>
      <w:r>
        <w:rPr>
          <w:rFonts w:hint="eastAsia" w:cs="Times New Roman"/>
          <w:szCs w:val="24"/>
          <w:highlight w:val="none"/>
          <w:lang w:val="en-US" w:eastAsia="zh-CN"/>
        </w:rPr>
        <w:t>相一致</w:t>
      </w:r>
      <w:r>
        <w:rPr>
          <w:rFonts w:hint="eastAsia" w:cs="Times New Roman"/>
          <w:szCs w:val="24"/>
          <w:highlight w:val="none"/>
        </w:rPr>
        <w:t>，</w:t>
      </w:r>
      <w:r>
        <w:rPr>
          <w:rFonts w:hint="eastAsia" w:cs="Times New Roman"/>
          <w:szCs w:val="24"/>
          <w:highlight w:val="none"/>
          <w:lang w:val="en-US" w:eastAsia="zh-CN"/>
        </w:rPr>
        <w:t>是针对学校教室这一特定室内环境，应用现场智能采样技术进行空气病原体监测的操作指南。</w:t>
      </w:r>
    </w:p>
    <w:p w14:paraId="38258E51">
      <w:pPr>
        <w:adjustRightInd w:val="0"/>
        <w:snapToGrid w:val="0"/>
        <w:spacing w:line="240" w:lineRule="auto"/>
        <w:ind w:firstLine="480" w:firstLineChars="200"/>
        <w:rPr>
          <w:rFonts w:hint="default" w:cs="Times New Roman"/>
          <w:szCs w:val="24"/>
          <w:highlight w:val="none"/>
          <w:lang w:val="en-US" w:eastAsia="zh-CN"/>
        </w:rPr>
      </w:pPr>
      <w:r>
        <w:rPr>
          <w:rFonts w:hint="eastAsia" w:cs="Times New Roman"/>
          <w:szCs w:val="24"/>
          <w:highlight w:val="none"/>
          <w:lang w:val="en-US" w:eastAsia="zh-CN"/>
        </w:rPr>
        <w:t>1.与</w:t>
      </w:r>
      <w:r>
        <w:rPr>
          <w:rFonts w:hint="eastAsia" w:cs="Times New Roman"/>
          <w:szCs w:val="24"/>
          <w:highlight w:val="none"/>
        </w:rPr>
        <w:t>法律法规及规范性文件的衔接</w:t>
      </w:r>
    </w:p>
    <w:p w14:paraId="3F247C7B">
      <w:pPr>
        <w:adjustRightInd w:val="0"/>
        <w:snapToGrid w:val="0"/>
        <w:spacing w:line="240" w:lineRule="auto"/>
        <w:ind w:firstLine="480" w:firstLineChars="200"/>
        <w:rPr>
          <w:rFonts w:hint="eastAsia" w:eastAsia="仿宋" w:cs="Times New Roman"/>
          <w:szCs w:val="24"/>
          <w:highlight w:val="none"/>
          <w:lang w:val="en-US" w:eastAsia="zh-CN"/>
        </w:rPr>
      </w:pPr>
      <w:r>
        <w:rPr>
          <w:rFonts w:hint="eastAsia" w:cs="Times New Roman"/>
          <w:szCs w:val="24"/>
          <w:highlight w:val="none"/>
          <w:lang w:val="en-US" w:eastAsia="zh-CN"/>
        </w:rPr>
        <w:t>本文件的编制</w:t>
      </w:r>
      <w:r>
        <w:rPr>
          <w:rFonts w:hint="eastAsia" w:cs="Times New Roman"/>
          <w:szCs w:val="24"/>
          <w:highlight w:val="none"/>
        </w:rPr>
        <w:t>严格遵守《中华人民共和国传染病防治法》、《中华人民共和国生物安全法》《公共场所卫生管理条例》的根本要求，旨在为学校这一重点公共场所建立主动、灵敏的</w:t>
      </w:r>
      <w:r>
        <w:rPr>
          <w:rFonts w:hint="eastAsia" w:cs="Times New Roman"/>
          <w:szCs w:val="24"/>
          <w:highlight w:val="none"/>
          <w:lang w:val="en-US" w:eastAsia="zh-CN"/>
        </w:rPr>
        <w:t>室内空气智能化采样技术</w:t>
      </w:r>
      <w:r>
        <w:rPr>
          <w:rFonts w:hint="eastAsia" w:cs="Times New Roman"/>
          <w:szCs w:val="24"/>
          <w:highlight w:val="none"/>
        </w:rPr>
        <w:t>。在</w:t>
      </w:r>
      <w:r>
        <w:rPr>
          <w:rFonts w:hint="eastAsia" w:cs="Times New Roman"/>
          <w:szCs w:val="24"/>
          <w:highlight w:val="none"/>
          <w:lang w:val="en-US" w:eastAsia="zh-CN"/>
        </w:rPr>
        <w:t>GB28932</w:t>
      </w:r>
      <w:r>
        <w:rPr>
          <w:rFonts w:hint="eastAsia" w:cs="Times New Roman"/>
          <w:szCs w:val="24"/>
          <w:highlight w:val="none"/>
        </w:rPr>
        <w:t>《中小学校传染病预防控制工作管理规范》</w:t>
      </w:r>
      <w:r>
        <w:rPr>
          <w:rFonts w:hint="eastAsia" w:cs="Times New Roman"/>
          <w:szCs w:val="24"/>
          <w:highlight w:val="none"/>
          <w:lang w:val="en-US" w:eastAsia="zh-CN"/>
        </w:rPr>
        <w:t>标准</w:t>
      </w:r>
      <w:r>
        <w:rPr>
          <w:rFonts w:hint="eastAsia" w:cs="Times New Roman"/>
          <w:szCs w:val="24"/>
          <w:highlight w:val="none"/>
        </w:rPr>
        <w:t>中，强调要加强学校</w:t>
      </w:r>
      <w:r>
        <w:rPr>
          <w:rFonts w:hint="eastAsia" w:cs="Times New Roman"/>
          <w:szCs w:val="24"/>
          <w:highlight w:val="none"/>
          <w:lang w:val="en-US" w:eastAsia="zh-CN"/>
        </w:rPr>
        <w:t>水、空气等</w:t>
      </w:r>
      <w:r>
        <w:rPr>
          <w:rFonts w:hint="eastAsia" w:cs="Times New Roman"/>
          <w:szCs w:val="24"/>
          <w:highlight w:val="none"/>
        </w:rPr>
        <w:t>卫生</w:t>
      </w:r>
      <w:r>
        <w:rPr>
          <w:rFonts w:hint="eastAsia" w:cs="Times New Roman"/>
          <w:szCs w:val="24"/>
          <w:highlight w:val="none"/>
          <w:lang w:val="en-US" w:eastAsia="zh-CN"/>
        </w:rPr>
        <w:t>管理</w:t>
      </w:r>
      <w:r>
        <w:rPr>
          <w:rFonts w:hint="eastAsia" w:cs="Times New Roman"/>
          <w:szCs w:val="24"/>
          <w:highlight w:val="none"/>
        </w:rPr>
        <w:t>。本文件的制定，正是将上述法律法规</w:t>
      </w:r>
      <w:r>
        <w:rPr>
          <w:rFonts w:hint="eastAsia" w:cs="Times New Roman"/>
          <w:szCs w:val="24"/>
          <w:highlight w:val="none"/>
          <w:lang w:val="en-US" w:eastAsia="zh-CN"/>
        </w:rPr>
        <w:t>标准</w:t>
      </w:r>
      <w:r>
        <w:rPr>
          <w:rFonts w:hint="eastAsia" w:cs="Times New Roman"/>
          <w:szCs w:val="24"/>
          <w:highlight w:val="none"/>
        </w:rPr>
        <w:t>的要求，转化为可执行的技术</w:t>
      </w:r>
      <w:r>
        <w:rPr>
          <w:rFonts w:hint="eastAsia" w:cs="Times New Roman"/>
          <w:szCs w:val="24"/>
          <w:highlight w:val="none"/>
          <w:lang w:val="en-US" w:eastAsia="zh-CN"/>
        </w:rPr>
        <w:t>指南</w:t>
      </w:r>
      <w:r>
        <w:rPr>
          <w:rFonts w:hint="eastAsia" w:cs="Times New Roman"/>
          <w:szCs w:val="24"/>
          <w:highlight w:val="none"/>
        </w:rPr>
        <w:t>，为落实学校卫生管理工作提供了先进的技术工具和标准依据。</w:t>
      </w:r>
    </w:p>
    <w:p w14:paraId="3F46A8C4">
      <w:pPr>
        <w:adjustRightInd w:val="0"/>
        <w:snapToGrid w:val="0"/>
        <w:spacing w:line="240" w:lineRule="auto"/>
        <w:ind w:firstLine="480" w:firstLineChars="200"/>
        <w:rPr>
          <w:rFonts w:hint="eastAsia" w:cs="Times New Roman"/>
          <w:szCs w:val="24"/>
          <w:highlight w:val="none"/>
          <w:lang w:val="en-US" w:eastAsia="zh-CN"/>
        </w:rPr>
      </w:pPr>
      <w:r>
        <w:rPr>
          <w:rFonts w:hint="eastAsia" w:cs="Times New Roman"/>
          <w:szCs w:val="24"/>
          <w:highlight w:val="none"/>
          <w:lang w:val="en-US" w:eastAsia="zh-CN"/>
        </w:rPr>
        <w:t>2.与现行国家标准体系的一致性</w:t>
      </w:r>
    </w:p>
    <w:p w14:paraId="0B79DD71">
      <w:pPr>
        <w:adjustRightInd w:val="0"/>
        <w:snapToGrid w:val="0"/>
        <w:spacing w:line="240" w:lineRule="auto"/>
        <w:ind w:firstLine="480" w:firstLineChars="200"/>
        <w:rPr>
          <w:rFonts w:hint="eastAsia" w:cs="Times New Roman"/>
          <w:szCs w:val="24"/>
          <w:highlight w:val="none"/>
        </w:rPr>
      </w:pPr>
      <w:r>
        <w:rPr>
          <w:rFonts w:hint="eastAsia" w:cs="Times New Roman"/>
          <w:szCs w:val="24"/>
          <w:highlight w:val="none"/>
          <w:lang w:val="en-US" w:eastAsia="zh-CN"/>
        </w:rPr>
        <w:t>（1）</w:t>
      </w:r>
      <w:r>
        <w:rPr>
          <w:rFonts w:hint="eastAsia" w:cs="Times New Roman"/>
          <w:szCs w:val="24"/>
          <w:highlight w:val="none"/>
        </w:rPr>
        <w:t>本</w:t>
      </w:r>
      <w:r>
        <w:rPr>
          <w:rFonts w:hint="eastAsia" w:cs="Times New Roman"/>
          <w:szCs w:val="24"/>
          <w:highlight w:val="none"/>
          <w:lang w:val="en-US" w:eastAsia="zh-CN"/>
        </w:rPr>
        <w:t>文件</w:t>
      </w:r>
      <w:r>
        <w:rPr>
          <w:rFonts w:hint="eastAsia" w:cs="Times New Roman"/>
          <w:szCs w:val="24"/>
          <w:highlight w:val="none"/>
        </w:rPr>
        <w:t>以GB/T 18204.3《公共场所卫生检验方法 第3部分：空气微生物</w:t>
      </w:r>
      <w:r>
        <w:rPr>
          <w:rFonts w:hint="eastAsia" w:cs="Times New Roman"/>
          <w:szCs w:val="24"/>
          <w:highlight w:val="none"/>
          <w:lang w:eastAsia="zh-CN"/>
        </w:rPr>
        <w:t>》</w:t>
      </w:r>
      <w:r>
        <w:rPr>
          <w:rFonts w:hint="eastAsia" w:cs="Times New Roman"/>
          <w:szCs w:val="24"/>
          <w:highlight w:val="none"/>
        </w:rPr>
        <w:t>为空气微生物检验的通用方法</w:t>
      </w:r>
      <w:r>
        <w:rPr>
          <w:rFonts w:hint="eastAsia" w:cs="Times New Roman"/>
          <w:szCs w:val="24"/>
          <w:highlight w:val="none"/>
          <w:lang w:eastAsia="zh-CN"/>
        </w:rPr>
        <w:t>，在采样点布设基本原则、部分基础操作概念和质量控制上，</w:t>
      </w:r>
      <w:r>
        <w:rPr>
          <w:rFonts w:hint="eastAsia" w:cs="Times New Roman"/>
          <w:szCs w:val="24"/>
          <w:highlight w:val="none"/>
        </w:rPr>
        <w:t>与GB/T 18204.3保持一致</w:t>
      </w:r>
      <w:r>
        <w:rPr>
          <w:rFonts w:hint="eastAsia" w:cs="Times New Roman"/>
          <w:szCs w:val="24"/>
          <w:highlight w:val="none"/>
          <w:lang w:eastAsia="zh-CN"/>
        </w:rPr>
        <w:t>。</w:t>
      </w:r>
      <w:r>
        <w:rPr>
          <w:rFonts w:hint="eastAsia" w:cs="Times New Roman"/>
          <w:szCs w:val="24"/>
          <w:highlight w:val="none"/>
          <w:lang w:val="en-US" w:eastAsia="zh-CN"/>
        </w:rPr>
        <w:t>本文件</w:t>
      </w:r>
      <w:r>
        <w:rPr>
          <w:rFonts w:hint="eastAsia" w:cs="Times New Roman"/>
          <w:szCs w:val="24"/>
          <w:highlight w:val="none"/>
        </w:rPr>
        <w:t>将</w:t>
      </w:r>
      <w:r>
        <w:rPr>
          <w:rFonts w:hint="eastAsia" w:cs="Times New Roman"/>
          <w:szCs w:val="24"/>
          <w:highlight w:val="none"/>
          <w:lang w:val="en-US" w:eastAsia="zh-CN"/>
        </w:rPr>
        <w:t>监测目标</w:t>
      </w:r>
      <w:r>
        <w:rPr>
          <w:rFonts w:hint="eastAsia" w:cs="Times New Roman"/>
          <w:szCs w:val="24"/>
          <w:highlight w:val="none"/>
        </w:rPr>
        <w:t>从广义的</w:t>
      </w:r>
      <w:r>
        <w:rPr>
          <w:rFonts w:hint="eastAsia" w:cs="Times New Roman"/>
          <w:szCs w:val="24"/>
          <w:highlight w:val="none"/>
          <w:lang w:eastAsia="zh-CN"/>
        </w:rPr>
        <w:t>“</w:t>
      </w:r>
      <w:r>
        <w:rPr>
          <w:rFonts w:hint="eastAsia" w:cs="Times New Roman"/>
          <w:szCs w:val="24"/>
          <w:highlight w:val="none"/>
        </w:rPr>
        <w:t>空气微生物</w:t>
      </w:r>
      <w:r>
        <w:rPr>
          <w:rFonts w:hint="eastAsia" w:cs="Times New Roman"/>
          <w:szCs w:val="24"/>
          <w:highlight w:val="none"/>
          <w:lang w:eastAsia="zh-CN"/>
        </w:rPr>
        <w:t>”</w:t>
      </w:r>
      <w:r>
        <w:rPr>
          <w:rFonts w:hint="eastAsia" w:cs="Times New Roman"/>
          <w:szCs w:val="24"/>
          <w:highlight w:val="none"/>
        </w:rPr>
        <w:t>聚焦于更具公共卫生风险的</w:t>
      </w:r>
      <w:r>
        <w:rPr>
          <w:rFonts w:hint="eastAsia" w:cs="Times New Roman"/>
          <w:szCs w:val="24"/>
          <w:highlight w:val="none"/>
          <w:lang w:eastAsia="zh-CN"/>
        </w:rPr>
        <w:t>“</w:t>
      </w:r>
      <w:r>
        <w:rPr>
          <w:rFonts w:hint="eastAsia" w:cs="Times New Roman"/>
          <w:szCs w:val="24"/>
          <w:highlight w:val="none"/>
        </w:rPr>
        <w:t>空气病原体</w:t>
      </w:r>
      <w:r>
        <w:rPr>
          <w:rFonts w:hint="eastAsia" w:cs="Times New Roman"/>
          <w:szCs w:val="24"/>
          <w:highlight w:val="none"/>
          <w:lang w:eastAsia="zh-CN"/>
        </w:rPr>
        <w:t>”</w:t>
      </w:r>
      <w:r>
        <w:rPr>
          <w:rFonts w:hint="eastAsia" w:cs="Times New Roman"/>
          <w:szCs w:val="24"/>
          <w:highlight w:val="none"/>
        </w:rPr>
        <w:t>，以</w:t>
      </w:r>
      <w:r>
        <w:rPr>
          <w:rFonts w:hint="eastAsia" w:cs="Times New Roman"/>
          <w:szCs w:val="24"/>
          <w:highlight w:val="none"/>
          <w:lang w:eastAsia="zh-CN"/>
        </w:rPr>
        <w:t>“</w:t>
      </w:r>
      <w:r>
        <w:rPr>
          <w:rFonts w:hint="eastAsia" w:cs="Times New Roman"/>
          <w:szCs w:val="24"/>
          <w:highlight w:val="none"/>
        </w:rPr>
        <w:t>智能采样</w:t>
      </w:r>
      <w:r>
        <w:rPr>
          <w:rFonts w:hint="eastAsia" w:cs="Times New Roman"/>
          <w:szCs w:val="24"/>
          <w:highlight w:val="none"/>
          <w:lang w:eastAsia="zh-CN"/>
        </w:rPr>
        <w:t>”</w:t>
      </w:r>
      <w:r>
        <w:rPr>
          <w:rFonts w:hint="eastAsia" w:cs="Times New Roman"/>
          <w:szCs w:val="24"/>
          <w:highlight w:val="none"/>
        </w:rPr>
        <w:t>和</w:t>
      </w:r>
      <w:r>
        <w:rPr>
          <w:rFonts w:hint="eastAsia" w:cs="Times New Roman"/>
          <w:szCs w:val="24"/>
          <w:highlight w:val="none"/>
          <w:lang w:eastAsia="zh-CN"/>
        </w:rPr>
        <w:t>“</w:t>
      </w:r>
      <w:r>
        <w:rPr>
          <w:rFonts w:hint="eastAsia" w:cs="Times New Roman"/>
          <w:szCs w:val="24"/>
          <w:highlight w:val="none"/>
        </w:rPr>
        <w:t>大流量气旋式采样</w:t>
      </w:r>
      <w:r>
        <w:rPr>
          <w:rFonts w:hint="eastAsia" w:cs="Times New Roman"/>
          <w:szCs w:val="24"/>
          <w:highlight w:val="none"/>
          <w:lang w:eastAsia="zh-CN"/>
        </w:rPr>
        <w:t>”</w:t>
      </w:r>
      <w:r>
        <w:rPr>
          <w:rFonts w:hint="eastAsia" w:cs="Times New Roman"/>
          <w:szCs w:val="24"/>
          <w:highlight w:val="none"/>
        </w:rPr>
        <w:t>为核心的技术路径，包括</w:t>
      </w:r>
      <w:r>
        <w:rPr>
          <w:rFonts w:hint="eastAsia" w:cs="Times New Roman"/>
          <w:szCs w:val="24"/>
          <w:highlight w:val="none"/>
          <w:lang w:val="en-US" w:eastAsia="zh-CN"/>
        </w:rPr>
        <w:t>自动化运行</w:t>
      </w:r>
      <w:r>
        <w:rPr>
          <w:rFonts w:hint="eastAsia" w:cs="Times New Roman"/>
          <w:szCs w:val="24"/>
          <w:highlight w:val="none"/>
        </w:rPr>
        <w:t>、实时传感、数据传输等</w:t>
      </w:r>
      <w:r>
        <w:rPr>
          <w:rFonts w:hint="eastAsia" w:cs="Times New Roman"/>
          <w:szCs w:val="24"/>
          <w:highlight w:val="none"/>
          <w:lang w:val="en-US" w:eastAsia="zh-CN"/>
        </w:rPr>
        <w:t>智能</w:t>
      </w:r>
      <w:r>
        <w:rPr>
          <w:rFonts w:hint="eastAsia" w:cs="Times New Roman"/>
          <w:szCs w:val="24"/>
          <w:highlight w:val="none"/>
        </w:rPr>
        <w:t>要求，这是对传统撞击法等方法的重大</w:t>
      </w:r>
      <w:r>
        <w:rPr>
          <w:rFonts w:hint="eastAsia" w:cs="Times New Roman"/>
          <w:szCs w:val="24"/>
          <w:highlight w:val="none"/>
          <w:lang w:val="en-US" w:eastAsia="zh-CN"/>
        </w:rPr>
        <w:t>智能化</w:t>
      </w:r>
      <w:r>
        <w:rPr>
          <w:rFonts w:hint="eastAsia" w:cs="Times New Roman"/>
          <w:szCs w:val="24"/>
          <w:highlight w:val="none"/>
        </w:rPr>
        <w:t>技术升级。</w:t>
      </w:r>
    </w:p>
    <w:p w14:paraId="7A81935D">
      <w:pPr>
        <w:adjustRightInd w:val="0"/>
        <w:snapToGrid w:val="0"/>
        <w:spacing w:line="240" w:lineRule="auto"/>
        <w:ind w:firstLine="480" w:firstLineChars="200"/>
        <w:rPr>
          <w:rFonts w:hint="eastAsia" w:cs="Times New Roman"/>
          <w:szCs w:val="24"/>
          <w:highlight w:val="none"/>
          <w:lang w:val="en-US" w:eastAsia="zh-CN"/>
        </w:rPr>
      </w:pPr>
      <w:r>
        <w:rPr>
          <w:rFonts w:hint="eastAsia" w:cs="Times New Roman"/>
          <w:szCs w:val="24"/>
          <w:highlight w:val="none"/>
          <w:lang w:eastAsia="zh-CN"/>
        </w:rPr>
        <w:t>（</w:t>
      </w:r>
      <w:r>
        <w:rPr>
          <w:rFonts w:hint="eastAsia" w:cs="Times New Roman"/>
          <w:szCs w:val="24"/>
          <w:highlight w:val="none"/>
          <w:lang w:val="en-US" w:eastAsia="zh-CN"/>
        </w:rPr>
        <w:t>2</w:t>
      </w:r>
      <w:r>
        <w:rPr>
          <w:rFonts w:hint="eastAsia" w:cs="Times New Roman"/>
          <w:szCs w:val="24"/>
          <w:highlight w:val="none"/>
          <w:lang w:eastAsia="zh-CN"/>
        </w:rPr>
        <w:t>）</w:t>
      </w:r>
      <w:r>
        <w:rPr>
          <w:rFonts w:hint="eastAsia" w:cs="Times New Roman"/>
          <w:szCs w:val="24"/>
          <w:highlight w:val="none"/>
          <w:lang w:val="en-US" w:eastAsia="zh-CN"/>
        </w:rPr>
        <w:t>本文件以</w:t>
      </w:r>
      <w:r>
        <w:rPr>
          <w:rFonts w:hint="eastAsia" w:cs="Times New Roman"/>
          <w:szCs w:val="24"/>
          <w:highlight w:val="none"/>
        </w:rPr>
        <w:t>GB/T 18204.</w:t>
      </w:r>
      <w:r>
        <w:rPr>
          <w:rFonts w:hint="eastAsia" w:cs="Times New Roman"/>
          <w:szCs w:val="24"/>
          <w:highlight w:val="none"/>
          <w:lang w:val="en-US" w:eastAsia="zh-CN"/>
        </w:rPr>
        <w:t>6</w:t>
      </w:r>
      <w:r>
        <w:rPr>
          <w:rFonts w:hint="eastAsia" w:cs="Times New Roman"/>
          <w:szCs w:val="24"/>
          <w:highlight w:val="none"/>
        </w:rPr>
        <w:t>《公共场所卫生检验方法 第</w:t>
      </w:r>
      <w:r>
        <w:rPr>
          <w:rFonts w:hint="eastAsia" w:cs="Times New Roman"/>
          <w:szCs w:val="24"/>
          <w:highlight w:val="none"/>
          <w:lang w:val="en-US" w:eastAsia="zh-CN"/>
        </w:rPr>
        <w:t>6</w:t>
      </w:r>
      <w:r>
        <w:rPr>
          <w:rFonts w:hint="eastAsia" w:cs="Times New Roman"/>
          <w:szCs w:val="24"/>
          <w:highlight w:val="none"/>
        </w:rPr>
        <w:t>部分：卫生监测技术规范</w:t>
      </w:r>
      <w:r>
        <w:rPr>
          <w:rFonts w:hint="eastAsia" w:cs="Times New Roman"/>
          <w:szCs w:val="24"/>
          <w:highlight w:val="none"/>
          <w:lang w:eastAsia="zh-CN"/>
        </w:rPr>
        <w:t>》</w:t>
      </w:r>
      <w:r>
        <w:rPr>
          <w:rFonts w:hint="eastAsia" w:cs="Times New Roman"/>
          <w:szCs w:val="24"/>
          <w:highlight w:val="none"/>
          <w:lang w:val="en-US" w:eastAsia="zh-CN"/>
        </w:rPr>
        <w:t>为采样点布设基本要求，</w:t>
      </w:r>
      <w:r>
        <w:rPr>
          <w:rFonts w:hint="eastAsia" w:cs="Times New Roman"/>
          <w:szCs w:val="24"/>
          <w:highlight w:val="none"/>
          <w:lang w:eastAsia="zh-CN"/>
        </w:rPr>
        <w:t>明确参照</w:t>
      </w:r>
      <w:r>
        <w:rPr>
          <w:rFonts w:hint="eastAsia" w:cs="Times New Roman"/>
          <w:szCs w:val="24"/>
          <w:highlight w:val="none"/>
        </w:rPr>
        <w:t>GB/T 18204.</w:t>
      </w:r>
      <w:r>
        <w:rPr>
          <w:rFonts w:hint="eastAsia" w:cs="Times New Roman"/>
          <w:szCs w:val="24"/>
          <w:highlight w:val="none"/>
          <w:lang w:val="en-US" w:eastAsia="zh-CN"/>
        </w:rPr>
        <w:t>6</w:t>
      </w:r>
      <w:r>
        <w:rPr>
          <w:rFonts w:hint="eastAsia" w:cs="Times New Roman"/>
          <w:szCs w:val="24"/>
          <w:highlight w:val="none"/>
          <w:lang w:eastAsia="zh-CN"/>
        </w:rPr>
        <w:t>监测布点的通用原则，并结合教室的结构和功能特点</w:t>
      </w:r>
      <w:r>
        <w:rPr>
          <w:rFonts w:hint="eastAsia" w:cs="Times New Roman"/>
          <w:szCs w:val="24"/>
          <w:highlight w:val="none"/>
          <w:lang w:val="en-US" w:eastAsia="zh-CN"/>
        </w:rPr>
        <w:t>提出布点数量的要求</w:t>
      </w:r>
      <w:r>
        <w:rPr>
          <w:rFonts w:hint="eastAsia" w:cs="Times New Roman"/>
          <w:szCs w:val="24"/>
          <w:highlight w:val="none"/>
          <w:lang w:eastAsia="zh-CN"/>
        </w:rPr>
        <w:t>。</w:t>
      </w:r>
    </w:p>
    <w:p w14:paraId="5634494E">
      <w:pPr>
        <w:adjustRightInd w:val="0"/>
        <w:snapToGrid w:val="0"/>
        <w:spacing w:line="240" w:lineRule="auto"/>
        <w:ind w:firstLine="480" w:firstLineChars="200"/>
        <w:rPr>
          <w:rFonts w:hint="default" w:cs="Times New Roman"/>
          <w:szCs w:val="24"/>
          <w:highlight w:val="none"/>
          <w:lang w:val="en-US" w:eastAsia="zh-CN"/>
        </w:rPr>
      </w:pPr>
      <w:r>
        <w:rPr>
          <w:rFonts w:hint="eastAsia" w:cs="Times New Roman"/>
          <w:szCs w:val="24"/>
          <w:highlight w:val="none"/>
          <w:lang w:val="en-US" w:eastAsia="zh-CN"/>
        </w:rPr>
        <w:t>（3）本文件要求现场采样的人员防护和废弃物处置必须符合GB 19489《实验室 生物安全通用要求》。这确保了即使在学校进行现场采样，其生物安全标准亦不降低，将可能含有病原体的气溶胶采样活动纳入了国家规范的生物安全管理框架，保障了学校和采样人员的健康安全。</w:t>
      </w:r>
    </w:p>
    <w:p w14:paraId="5C6BA0B8">
      <w:pPr>
        <w:adjustRightInd w:val="0"/>
        <w:snapToGrid w:val="0"/>
        <w:spacing w:line="240" w:lineRule="auto"/>
        <w:ind w:firstLine="480" w:firstLineChars="200"/>
        <w:rPr>
          <w:rFonts w:hint="default" w:cs="Times New Roman"/>
          <w:szCs w:val="24"/>
          <w:highlight w:val="none"/>
          <w:lang w:val="en-US" w:eastAsia="zh-CN"/>
        </w:rPr>
      </w:pPr>
      <w:r>
        <w:rPr>
          <w:rFonts w:hint="eastAsia" w:cs="Times New Roman"/>
          <w:szCs w:val="24"/>
          <w:highlight w:val="none"/>
          <w:lang w:val="en-US" w:eastAsia="zh-CN"/>
        </w:rPr>
        <w:t>（4）通则与计量校准要求层面：本文件在采样记录格式等方面参考了GB/T 38517《颗粒 生物气溶胶采样和分析 通则》内容，保证了记录内容的完整性。本文件将JJF 1826《空气微生物采样器校准规范》</w:t>
      </w:r>
      <w:r>
        <w:rPr>
          <w:rFonts w:hint="eastAsia" w:cs="Times New Roman"/>
          <w:szCs w:val="24"/>
          <w:lang w:val="en-US" w:eastAsia="zh-CN"/>
        </w:rPr>
        <w:t>JJF 2304《生物气溶胶采样器校准规范》</w:t>
      </w:r>
      <w:r>
        <w:rPr>
          <w:rFonts w:hint="eastAsia" w:cs="Times New Roman"/>
          <w:szCs w:val="24"/>
          <w:highlight w:val="none"/>
          <w:lang w:val="en-US" w:eastAsia="zh-CN"/>
        </w:rPr>
        <w:t>作为采样器流量校准的直接技术依据，确保了采样数据溯源的准确性和可比性。</w:t>
      </w:r>
    </w:p>
    <w:p w14:paraId="74142D26">
      <w:pPr>
        <w:adjustRightInd w:val="0"/>
        <w:snapToGrid w:val="0"/>
        <w:spacing w:line="240" w:lineRule="auto"/>
        <w:ind w:firstLine="480" w:firstLineChars="200"/>
        <w:rPr>
          <w:rFonts w:hint="eastAsia" w:cs="Times New Roman"/>
          <w:szCs w:val="24"/>
          <w:highlight w:val="none"/>
          <w:lang w:val="en-US" w:eastAsia="zh-CN"/>
        </w:rPr>
      </w:pPr>
      <w:r>
        <w:rPr>
          <w:rFonts w:hint="eastAsia" w:cs="Times New Roman"/>
          <w:szCs w:val="24"/>
          <w:highlight w:val="none"/>
          <w:lang w:val="en-US" w:eastAsia="zh-CN"/>
        </w:rPr>
        <w:t>3.对现有标准体系的补充与创新价值</w:t>
      </w:r>
    </w:p>
    <w:p w14:paraId="4043492D">
      <w:pPr>
        <w:adjustRightInd w:val="0"/>
        <w:snapToGrid w:val="0"/>
        <w:spacing w:line="240" w:lineRule="auto"/>
        <w:ind w:firstLine="480" w:firstLineChars="200"/>
        <w:rPr>
          <w:rFonts w:hint="default" w:cs="Times New Roman"/>
          <w:szCs w:val="24"/>
          <w:highlight w:val="none"/>
          <w:lang w:val="en-US" w:eastAsia="zh-CN"/>
        </w:rPr>
      </w:pPr>
      <w:r>
        <w:rPr>
          <w:rFonts w:hint="eastAsia" w:cs="Times New Roman"/>
          <w:szCs w:val="24"/>
          <w:highlight w:val="none"/>
        </w:rPr>
        <w:t>当前，我国已</w:t>
      </w:r>
      <w:r>
        <w:rPr>
          <w:rFonts w:hint="eastAsia" w:cs="Times New Roman"/>
          <w:szCs w:val="24"/>
          <w:highlight w:val="none"/>
          <w:lang w:val="en-US" w:eastAsia="zh-CN"/>
        </w:rPr>
        <w:t>发布了</w:t>
      </w:r>
      <w:r>
        <w:rPr>
          <w:rFonts w:hint="eastAsia" w:cs="Times New Roman"/>
          <w:szCs w:val="24"/>
          <w:highlight w:val="none"/>
        </w:rPr>
        <w:t>一系列关于学校建筑、照明、采光、噪声的卫生标准（如GB 7793《中小学校教室采光和照明卫生标准》、GB/T 17225</w:t>
      </w:r>
      <w:r>
        <w:rPr>
          <w:rFonts w:hint="eastAsia" w:cs="Times New Roman"/>
          <w:szCs w:val="24"/>
          <w:highlight w:val="none"/>
          <w:lang w:eastAsia="zh-CN"/>
        </w:rPr>
        <w:t>《</w:t>
      </w:r>
      <w:r>
        <w:rPr>
          <w:rFonts w:hint="eastAsia" w:cs="Times New Roman"/>
          <w:szCs w:val="24"/>
          <w:highlight w:val="none"/>
        </w:rPr>
        <w:t>中小学校采暖教室微小气候卫生要求</w:t>
      </w:r>
      <w:r>
        <w:rPr>
          <w:rFonts w:hint="eastAsia" w:cs="Times New Roman"/>
          <w:szCs w:val="24"/>
          <w:highlight w:val="none"/>
          <w:lang w:eastAsia="zh-CN"/>
        </w:rPr>
        <w:t>》</w:t>
      </w:r>
      <w:r>
        <w:rPr>
          <w:rFonts w:hint="eastAsia" w:cs="Times New Roman"/>
          <w:szCs w:val="24"/>
          <w:highlight w:val="none"/>
        </w:rPr>
        <w:t>等），但</w:t>
      </w:r>
      <w:r>
        <w:rPr>
          <w:rFonts w:hint="eastAsia" w:cs="Times New Roman"/>
          <w:szCs w:val="24"/>
          <w:highlight w:val="none"/>
          <w:lang w:val="en-US" w:eastAsia="zh-CN"/>
        </w:rPr>
        <w:t>缺少针对学校</w:t>
      </w:r>
      <w:r>
        <w:rPr>
          <w:rFonts w:hint="eastAsia" w:cs="Times New Roman"/>
          <w:szCs w:val="24"/>
          <w:highlight w:val="none"/>
        </w:rPr>
        <w:t>室内空气病原体智能化</w:t>
      </w:r>
      <w:r>
        <w:rPr>
          <w:rFonts w:hint="eastAsia" w:cs="Times New Roman"/>
          <w:szCs w:val="24"/>
          <w:highlight w:val="none"/>
          <w:lang w:val="en-US" w:eastAsia="zh-CN"/>
        </w:rPr>
        <w:t>采样</w:t>
      </w:r>
      <w:r>
        <w:rPr>
          <w:rFonts w:hint="eastAsia" w:cs="Times New Roman"/>
          <w:szCs w:val="24"/>
          <w:highlight w:val="none"/>
        </w:rPr>
        <w:t>的操作标准。本文件不与任何现行标准冲突，而是作为GB/T 18204.3等通用方法标准在学校教室场景下，结合物联网、智能传感等新技术应用的升级。</w:t>
      </w:r>
      <w:r>
        <w:rPr>
          <w:rFonts w:hint="eastAsia" w:cs="Times New Roman"/>
          <w:szCs w:val="24"/>
          <w:highlight w:val="none"/>
          <w:lang w:val="en-US" w:eastAsia="zh-CN"/>
        </w:rPr>
        <w:t>本文件</w:t>
      </w:r>
      <w:r>
        <w:rPr>
          <w:rFonts w:hint="eastAsia" w:cs="Times New Roman"/>
          <w:szCs w:val="24"/>
          <w:highlight w:val="none"/>
        </w:rPr>
        <w:t>提出的集成</w:t>
      </w:r>
      <w:r>
        <w:rPr>
          <w:rFonts w:hint="eastAsia" w:cs="Times New Roman"/>
          <w:szCs w:val="24"/>
          <w:highlight w:val="none"/>
          <w:lang w:val="en-US" w:eastAsia="zh-CN"/>
        </w:rPr>
        <w:t>环境</w:t>
      </w:r>
      <w:r>
        <w:rPr>
          <w:rFonts w:hint="eastAsia" w:cs="Times New Roman"/>
          <w:szCs w:val="24"/>
          <w:highlight w:val="none"/>
        </w:rPr>
        <w:t>传感器、</w:t>
      </w:r>
      <w:r>
        <w:rPr>
          <w:rFonts w:hint="eastAsia" w:cs="Times New Roman"/>
          <w:szCs w:val="24"/>
          <w:highlight w:val="none"/>
          <w:lang w:val="en-US" w:eastAsia="zh-CN"/>
        </w:rPr>
        <w:t>自动化远程启动、数据传输等</w:t>
      </w:r>
      <w:r>
        <w:rPr>
          <w:rFonts w:hint="eastAsia" w:cs="Times New Roman"/>
          <w:szCs w:val="24"/>
          <w:highlight w:val="none"/>
        </w:rPr>
        <w:t>要求，推动了学校</w:t>
      </w:r>
      <w:r>
        <w:rPr>
          <w:rFonts w:hint="eastAsia" w:cs="Times New Roman"/>
          <w:szCs w:val="24"/>
          <w:highlight w:val="none"/>
          <w:lang w:val="en-US" w:eastAsia="zh-CN"/>
        </w:rPr>
        <w:t>室内空气采样向</w:t>
      </w:r>
      <w:r>
        <w:rPr>
          <w:rFonts w:hint="eastAsia" w:cs="Times New Roman"/>
          <w:szCs w:val="24"/>
          <w:highlight w:val="none"/>
        </w:rPr>
        <w:t>智能化转变。</w:t>
      </w:r>
    </w:p>
    <w:p w14:paraId="18773BA2">
      <w:pPr>
        <w:adjustRightInd w:val="0"/>
        <w:snapToGrid w:val="0"/>
        <w:spacing w:line="240" w:lineRule="auto"/>
        <w:ind w:firstLine="480" w:firstLineChars="200"/>
        <w:rPr>
          <w:rFonts w:cs="Times New Roman"/>
          <w:szCs w:val="24"/>
          <w:highlight w:val="none"/>
        </w:rPr>
      </w:pPr>
      <w:r>
        <w:rPr>
          <w:rFonts w:hint="eastAsia" w:cs="Times New Roman"/>
          <w:szCs w:val="24"/>
          <w:highlight w:val="none"/>
        </w:rPr>
        <w:t>综上所述，本文件与我国现行法律、法规及标准体系紧密衔接，是其在学校空气病原体智能</w:t>
      </w:r>
      <w:r>
        <w:rPr>
          <w:rFonts w:hint="eastAsia" w:cs="Times New Roman"/>
          <w:szCs w:val="24"/>
          <w:highlight w:val="none"/>
          <w:lang w:val="en-US" w:eastAsia="zh-CN"/>
        </w:rPr>
        <w:t>采样</w:t>
      </w:r>
      <w:r>
        <w:rPr>
          <w:rFonts w:hint="eastAsia" w:cs="Times New Roman"/>
          <w:szCs w:val="24"/>
          <w:highlight w:val="none"/>
        </w:rPr>
        <w:t>领域的必要补充，具有重要的实践意义和推广价值。</w:t>
      </w:r>
    </w:p>
    <w:p w14:paraId="1EA36FCC">
      <w:pPr>
        <w:pStyle w:val="2"/>
        <w:spacing w:before="0" w:after="0"/>
        <w:rPr>
          <w:sz w:val="28"/>
        </w:rPr>
      </w:pPr>
      <w:bookmarkStart w:id="98" w:name="_Toc19690"/>
      <w:bookmarkStart w:id="99" w:name="_Toc14215"/>
      <w:bookmarkStart w:id="100" w:name="_Toc15947"/>
      <w:bookmarkStart w:id="101" w:name="_Toc22348"/>
      <w:bookmarkStart w:id="102" w:name="_Toc11375"/>
      <w:bookmarkStart w:id="103" w:name="_Toc30706"/>
      <w:bookmarkStart w:id="104" w:name="_Toc890"/>
      <w:bookmarkStart w:id="105" w:name="_Toc69553237"/>
      <w:bookmarkStart w:id="106" w:name="_Toc93656995"/>
      <w:bookmarkStart w:id="107" w:name="_Toc9803"/>
      <w:bookmarkStart w:id="108" w:name="_Toc8260"/>
      <w:bookmarkStart w:id="109" w:name="_Toc67407050"/>
      <w:bookmarkStart w:id="110" w:name="_Toc4442"/>
      <w:bookmarkStart w:id="111" w:name="_Toc10252"/>
      <w:bookmarkStart w:id="112" w:name="_Toc7826"/>
      <w:bookmarkStart w:id="113" w:name="_Toc28477"/>
      <w:bookmarkStart w:id="114" w:name="_Toc27951"/>
      <w:bookmarkStart w:id="115" w:name="_Toc18943"/>
      <w:r>
        <w:rPr>
          <w:rFonts w:hint="eastAsia"/>
          <w:sz w:val="28"/>
          <w:lang w:val="en-US" w:eastAsia="zh-CN"/>
        </w:rPr>
        <w:t>三</w:t>
      </w:r>
      <w:r>
        <w:rPr>
          <w:rFonts w:hint="eastAsia"/>
          <w:sz w:val="28"/>
        </w:rPr>
        <w:t>、</w:t>
      </w:r>
      <w:bookmarkEnd w:id="98"/>
      <w:bookmarkEnd w:id="99"/>
      <w:bookmarkEnd w:id="100"/>
      <w:bookmarkEnd w:id="101"/>
      <w:r>
        <w:rPr>
          <w:rFonts w:hint="eastAsia"/>
          <w:sz w:val="28"/>
        </w:rPr>
        <w:t>国外相关法律、法规、文件和标准情况的对比说明；</w:t>
      </w:r>
      <w:bookmarkEnd w:id="102"/>
      <w:bookmarkEnd w:id="103"/>
      <w:bookmarkEnd w:id="104"/>
    </w:p>
    <w:p w14:paraId="26CF05DF">
      <w:pPr>
        <w:adjustRightInd w:val="0"/>
        <w:snapToGrid w:val="0"/>
        <w:spacing w:line="240" w:lineRule="auto"/>
        <w:ind w:firstLine="480" w:firstLineChars="200"/>
        <w:rPr>
          <w:rFonts w:hint="default" w:eastAsia="仿宋" w:cs="Times New Roman"/>
          <w:szCs w:val="24"/>
          <w:highlight w:val="none"/>
          <w:lang w:eastAsia="zh-CN"/>
        </w:rPr>
      </w:pPr>
      <w:bookmarkStart w:id="116" w:name="_Toc7417"/>
      <w:r>
        <w:rPr>
          <w:rFonts w:hint="default" w:cs="Times New Roman"/>
          <w:szCs w:val="24"/>
          <w:highlight w:val="none"/>
        </w:rPr>
        <w:t>目前，国际上尚无</w:t>
      </w:r>
      <w:r>
        <w:rPr>
          <w:rFonts w:hint="default" w:cs="Times New Roman"/>
          <w:szCs w:val="24"/>
          <w:highlight w:val="none"/>
          <w:lang w:val="en-US" w:eastAsia="zh-CN"/>
        </w:rPr>
        <w:t>完全对应的、</w:t>
      </w:r>
      <w:r>
        <w:rPr>
          <w:rFonts w:hint="default" w:cs="Times New Roman"/>
          <w:szCs w:val="24"/>
          <w:highlight w:val="none"/>
        </w:rPr>
        <w:t>针对</w:t>
      </w:r>
      <w:r>
        <w:rPr>
          <w:rFonts w:hint="default" w:cs="Times New Roman"/>
          <w:szCs w:val="24"/>
          <w:highlight w:val="none"/>
          <w:lang w:val="en-US" w:eastAsia="zh-CN"/>
        </w:rPr>
        <w:t>学校</w:t>
      </w:r>
      <w:r>
        <w:rPr>
          <w:rFonts w:hint="default" w:cs="Times New Roman"/>
          <w:szCs w:val="24"/>
          <w:highlight w:val="none"/>
          <w:lang w:eastAsia="zh-CN"/>
        </w:rPr>
        <w:t>教室</w:t>
      </w:r>
      <w:r>
        <w:rPr>
          <w:rFonts w:hint="default" w:cs="Times New Roman"/>
          <w:szCs w:val="24"/>
          <w:highlight w:val="none"/>
        </w:rPr>
        <w:t>空气病原体</w:t>
      </w:r>
      <w:r>
        <w:rPr>
          <w:rFonts w:hint="default" w:cs="Times New Roman"/>
          <w:szCs w:val="24"/>
          <w:highlight w:val="none"/>
          <w:lang w:val="en-US" w:eastAsia="zh-CN"/>
        </w:rPr>
        <w:t>现场</w:t>
      </w:r>
      <w:r>
        <w:rPr>
          <w:rFonts w:hint="default" w:cs="Times New Roman"/>
          <w:szCs w:val="24"/>
          <w:highlight w:val="none"/>
        </w:rPr>
        <w:t>智能采样</w:t>
      </w:r>
      <w:r>
        <w:rPr>
          <w:rFonts w:hint="eastAsia" w:cs="Times New Roman"/>
          <w:szCs w:val="24"/>
          <w:highlight w:val="none"/>
          <w:lang w:eastAsia="zh-CN"/>
        </w:rPr>
        <w:t>”</w:t>
      </w:r>
      <w:r>
        <w:rPr>
          <w:rFonts w:hint="default" w:cs="Times New Roman"/>
          <w:szCs w:val="24"/>
          <w:highlight w:val="none"/>
        </w:rPr>
        <w:t>的单一、综合性标准。</w:t>
      </w:r>
      <w:r>
        <w:rPr>
          <w:rFonts w:hint="default" w:cs="Times New Roman"/>
          <w:szCs w:val="24"/>
          <w:highlight w:val="none"/>
          <w:lang w:val="en-US" w:eastAsia="zh-CN"/>
        </w:rPr>
        <w:t>但相关理念和</w:t>
      </w:r>
      <w:r>
        <w:rPr>
          <w:rFonts w:hint="default" w:cs="Times New Roman"/>
          <w:szCs w:val="24"/>
          <w:highlight w:val="none"/>
        </w:rPr>
        <w:t>技术要求分散在</w:t>
      </w:r>
      <w:r>
        <w:rPr>
          <w:rFonts w:hint="default" w:cs="Times New Roman"/>
          <w:szCs w:val="24"/>
          <w:highlight w:val="none"/>
          <w:lang w:val="en-US" w:eastAsia="zh-CN"/>
        </w:rPr>
        <w:t>建筑科学、公共卫生、环境监测等</w:t>
      </w:r>
      <w:r>
        <w:rPr>
          <w:rFonts w:hint="default" w:cs="Times New Roman"/>
          <w:szCs w:val="24"/>
          <w:highlight w:val="none"/>
        </w:rPr>
        <w:t>多个领域</w:t>
      </w:r>
      <w:r>
        <w:rPr>
          <w:rFonts w:hint="default" w:cs="Times New Roman"/>
          <w:szCs w:val="24"/>
          <w:highlight w:val="none"/>
          <w:lang w:val="en-US" w:eastAsia="zh-CN"/>
        </w:rPr>
        <w:t>的法规标准和技术指南文件中</w:t>
      </w:r>
      <w:r>
        <w:rPr>
          <w:rFonts w:hint="default" w:cs="Times New Roman"/>
          <w:szCs w:val="24"/>
          <w:highlight w:val="none"/>
          <w:lang w:eastAsia="zh-CN"/>
        </w:rPr>
        <w:t>。</w:t>
      </w:r>
    </w:p>
    <w:p w14:paraId="190AC6F8">
      <w:pPr>
        <w:adjustRightInd w:val="0"/>
        <w:snapToGrid w:val="0"/>
        <w:spacing w:line="240" w:lineRule="auto"/>
        <w:ind w:firstLine="480" w:firstLineChars="200"/>
        <w:rPr>
          <w:rFonts w:hint="default" w:eastAsia="仿宋" w:cs="Times New Roman"/>
          <w:szCs w:val="24"/>
          <w:highlight w:val="none"/>
          <w:lang w:val="en-US" w:eastAsia="zh-CN"/>
        </w:rPr>
      </w:pPr>
      <w:r>
        <w:rPr>
          <w:rFonts w:hint="default" w:cs="Times New Roman"/>
          <w:szCs w:val="24"/>
          <w:highlight w:val="none"/>
          <w:lang w:val="en-US" w:eastAsia="zh-CN"/>
        </w:rPr>
        <w:t>1.与国外空气</w:t>
      </w:r>
      <w:r>
        <w:rPr>
          <w:rFonts w:hint="default" w:cs="Times New Roman"/>
          <w:szCs w:val="24"/>
          <w:highlight w:val="none"/>
        </w:rPr>
        <w:t>生物气溶胶采样标准</w:t>
      </w:r>
      <w:r>
        <w:rPr>
          <w:rFonts w:hint="default" w:cs="Times New Roman"/>
          <w:szCs w:val="24"/>
          <w:highlight w:val="none"/>
          <w:lang w:val="en-US" w:eastAsia="zh-CN"/>
        </w:rPr>
        <w:t>的对比</w:t>
      </w:r>
    </w:p>
    <w:p w14:paraId="52F3EEF6">
      <w:pPr>
        <w:adjustRightInd w:val="0"/>
        <w:snapToGrid w:val="0"/>
        <w:spacing w:line="240" w:lineRule="auto"/>
        <w:ind w:firstLine="480" w:firstLineChars="200"/>
        <w:rPr>
          <w:rFonts w:hint="default" w:eastAsia="仿宋" w:cs="Times New Roman"/>
          <w:szCs w:val="24"/>
          <w:highlight w:val="none"/>
          <w:lang w:val="en-US" w:eastAsia="zh-CN"/>
        </w:rPr>
      </w:pPr>
      <w:r>
        <w:rPr>
          <w:rFonts w:hint="default" w:cs="Times New Roman"/>
          <w:szCs w:val="24"/>
          <w:highlight w:val="none"/>
        </w:rPr>
        <w:t>国际标准化组织（ISO）</w:t>
      </w:r>
      <w:r>
        <w:rPr>
          <w:rFonts w:hint="default" w:cs="Times New Roman"/>
          <w:szCs w:val="24"/>
          <w:highlight w:val="none"/>
          <w:lang w:val="en-US" w:eastAsia="zh-CN"/>
        </w:rPr>
        <w:t>发布了</w:t>
      </w:r>
      <w:r>
        <w:rPr>
          <w:rFonts w:hint="default" w:cs="Times New Roman"/>
          <w:szCs w:val="24"/>
          <w:highlight w:val="none"/>
        </w:rPr>
        <w:t>ISO 16000</w:t>
      </w:r>
      <w:r>
        <w:rPr>
          <w:rFonts w:hint="default" w:cs="Times New Roman"/>
          <w:szCs w:val="24"/>
          <w:highlight w:val="none"/>
          <w:lang w:val="en-US" w:eastAsia="zh-CN"/>
        </w:rPr>
        <w:t>-18：2011（I</w:t>
      </w:r>
      <w:r>
        <w:rPr>
          <w:rFonts w:hint="default" w:cs="Times New Roman"/>
          <w:szCs w:val="24"/>
          <w:highlight w:val="none"/>
        </w:rPr>
        <w:t>ndoor air</w:t>
      </w:r>
      <w:r>
        <w:rPr>
          <w:rFonts w:hint="default" w:cs="Times New Roman"/>
          <w:szCs w:val="24"/>
          <w:highlight w:val="none"/>
          <w:lang w:val="en-US" w:eastAsia="zh-CN"/>
        </w:rPr>
        <w:t xml:space="preserve"> </w:t>
      </w:r>
      <w:r>
        <w:rPr>
          <w:rFonts w:hint="default" w:cs="Times New Roman"/>
          <w:szCs w:val="24"/>
          <w:highlight w:val="none"/>
        </w:rPr>
        <w:t>Part 18: Detection and enumeration of moulds — Sampling by impaction</w:t>
      </w:r>
      <w:r>
        <w:rPr>
          <w:rFonts w:hint="default" w:cs="Times New Roman"/>
          <w:szCs w:val="24"/>
          <w:highlight w:val="none"/>
          <w:lang w:val="en-US" w:eastAsia="zh-CN"/>
        </w:rPr>
        <w:t>），该标准涉及了利用撞击法进行室内空气中霉菌的采样，</w:t>
      </w:r>
      <w:r>
        <w:rPr>
          <w:rFonts w:hint="default" w:cs="Times New Roman"/>
          <w:szCs w:val="24"/>
          <w:highlight w:val="none"/>
        </w:rPr>
        <w:t>欧洲标准化委员会</w:t>
      </w:r>
      <w:r>
        <w:rPr>
          <w:rFonts w:hint="default" w:cs="Times New Roman"/>
          <w:szCs w:val="24"/>
          <w:highlight w:val="none"/>
          <w:lang w:val="en-US" w:eastAsia="zh-CN"/>
        </w:rPr>
        <w:t>发布的</w:t>
      </w:r>
      <w:r>
        <w:rPr>
          <w:rFonts w:hint="default" w:cs="Times New Roman"/>
          <w:szCs w:val="24"/>
          <w:highlight w:val="none"/>
        </w:rPr>
        <w:t>EN 17359-2020</w:t>
      </w:r>
      <w:r>
        <w:rPr>
          <w:rFonts w:hint="default" w:cs="Times New Roman"/>
          <w:szCs w:val="24"/>
          <w:highlight w:val="none"/>
          <w:lang w:val="en-US" w:eastAsia="zh-CN"/>
        </w:rPr>
        <w:t>（</w:t>
      </w:r>
      <w:r>
        <w:rPr>
          <w:rFonts w:hint="default" w:cs="Times New Roman"/>
          <w:szCs w:val="24"/>
          <w:highlight w:val="none"/>
        </w:rPr>
        <w:t>Stationary source emissions - Bioaerosols and biological agents - Sampling of bioaerosols and collection in liquids - Impingement method</w:t>
      </w:r>
      <w:r>
        <w:rPr>
          <w:rFonts w:hint="default" w:cs="Times New Roman"/>
          <w:szCs w:val="24"/>
          <w:highlight w:val="none"/>
          <w:lang w:val="en-US" w:eastAsia="zh-CN"/>
        </w:rPr>
        <w:t>）提出了对于</w:t>
      </w:r>
      <w:r>
        <w:rPr>
          <w:rFonts w:hint="default" w:cs="Times New Roman"/>
          <w:szCs w:val="24"/>
          <w:highlight w:val="none"/>
        </w:rPr>
        <w:t>固定源排放生物气溶胶的液体冲击法</w:t>
      </w:r>
      <w:r>
        <w:rPr>
          <w:rFonts w:hint="default" w:cs="Times New Roman"/>
          <w:szCs w:val="24"/>
          <w:highlight w:val="none"/>
          <w:lang w:val="en-US" w:eastAsia="zh-CN"/>
        </w:rPr>
        <w:t>采样。与上述通用气溶胶采样标准相比，</w:t>
      </w:r>
      <w:r>
        <w:rPr>
          <w:rFonts w:hint="default" w:cs="Times New Roman"/>
          <w:szCs w:val="24"/>
          <w:highlight w:val="none"/>
        </w:rPr>
        <w:t>本文件</w:t>
      </w:r>
      <w:r>
        <w:rPr>
          <w:rFonts w:hint="default" w:cs="Times New Roman"/>
          <w:szCs w:val="24"/>
          <w:highlight w:val="none"/>
          <w:lang w:val="en-US" w:eastAsia="zh-CN"/>
        </w:rPr>
        <w:t>提出的</w:t>
      </w:r>
      <w:r>
        <w:rPr>
          <w:rFonts w:hint="eastAsia" w:cs="Times New Roman"/>
          <w:szCs w:val="24"/>
          <w:highlight w:val="none"/>
          <w:lang w:val="en-US" w:eastAsia="zh-CN"/>
        </w:rPr>
        <w:t>“</w:t>
      </w:r>
      <w:r>
        <w:rPr>
          <w:rFonts w:hint="default" w:cs="Times New Roman"/>
          <w:szCs w:val="24"/>
          <w:highlight w:val="none"/>
          <w:lang w:val="en-US" w:eastAsia="zh-CN"/>
        </w:rPr>
        <w:t>智能采样</w:t>
      </w:r>
      <w:r>
        <w:rPr>
          <w:rFonts w:hint="eastAsia" w:cs="Times New Roman"/>
          <w:szCs w:val="24"/>
          <w:highlight w:val="none"/>
          <w:lang w:val="en-US" w:eastAsia="zh-CN"/>
        </w:rPr>
        <w:t>”</w:t>
      </w:r>
      <w:r>
        <w:rPr>
          <w:rFonts w:hint="default" w:cs="Times New Roman"/>
          <w:szCs w:val="24"/>
          <w:highlight w:val="none"/>
        </w:rPr>
        <w:t>不仅规定了</w:t>
      </w:r>
      <w:r>
        <w:rPr>
          <w:rFonts w:hint="default" w:cs="Times New Roman"/>
          <w:szCs w:val="24"/>
          <w:highlight w:val="none"/>
          <w:lang w:val="en-US" w:eastAsia="zh-CN"/>
        </w:rPr>
        <w:t>核心的气旋式</w:t>
      </w:r>
      <w:r>
        <w:rPr>
          <w:rFonts w:hint="default" w:cs="Times New Roman"/>
          <w:szCs w:val="24"/>
          <w:highlight w:val="none"/>
        </w:rPr>
        <w:t>采样器性能（如</w:t>
      </w:r>
      <w:r>
        <w:rPr>
          <w:rFonts w:hint="default" w:cs="Times New Roman"/>
          <w:szCs w:val="24"/>
          <w:highlight w:val="none"/>
          <w:lang w:val="en-US" w:eastAsia="zh-CN"/>
        </w:rPr>
        <w:t>采样</w:t>
      </w:r>
      <w:r>
        <w:rPr>
          <w:rFonts w:hint="default" w:cs="Times New Roman"/>
          <w:szCs w:val="24"/>
          <w:highlight w:val="none"/>
        </w:rPr>
        <w:t>流量、灵敏度），</w:t>
      </w:r>
      <w:r>
        <w:rPr>
          <w:rFonts w:hint="default" w:cs="Times New Roman"/>
          <w:szCs w:val="24"/>
          <w:highlight w:val="none"/>
          <w:lang w:val="en-US" w:eastAsia="zh-CN"/>
        </w:rPr>
        <w:t>还</w:t>
      </w:r>
      <w:r>
        <w:rPr>
          <w:rFonts w:hint="default" w:cs="Times New Roman"/>
          <w:szCs w:val="24"/>
          <w:highlight w:val="none"/>
        </w:rPr>
        <w:t>集成了</w:t>
      </w:r>
      <w:r>
        <w:rPr>
          <w:rFonts w:hint="default" w:cs="Times New Roman"/>
          <w:szCs w:val="24"/>
          <w:highlight w:val="none"/>
          <w:lang w:val="en-US" w:eastAsia="zh-CN"/>
        </w:rPr>
        <w:t>多参数环境传感器、数据无线传输与</w:t>
      </w:r>
      <w:r>
        <w:rPr>
          <w:rFonts w:hint="default" w:cs="Times New Roman"/>
          <w:szCs w:val="24"/>
          <w:highlight w:val="none"/>
        </w:rPr>
        <w:t>远程控制</w:t>
      </w:r>
      <w:r>
        <w:rPr>
          <w:rFonts w:hint="default" w:cs="Times New Roman"/>
          <w:szCs w:val="24"/>
          <w:highlight w:val="none"/>
          <w:lang w:val="en-US" w:eastAsia="zh-CN"/>
        </w:rPr>
        <w:t>单元，体现了智能一体化采样理念</w:t>
      </w:r>
      <w:r>
        <w:rPr>
          <w:rFonts w:hint="default" w:cs="Times New Roman"/>
          <w:szCs w:val="24"/>
          <w:highlight w:val="none"/>
        </w:rPr>
        <w:t>。</w:t>
      </w:r>
      <w:r>
        <w:rPr>
          <w:rFonts w:hint="default" w:cs="Times New Roman"/>
          <w:szCs w:val="24"/>
          <w:highlight w:val="none"/>
          <w:lang w:val="en-US" w:eastAsia="zh-CN"/>
        </w:rPr>
        <w:t>另外，本文件聚焦于学校教室环境，所有技术要求均围绕教室的面积特征、人员活动规律、健康管理需求而设置，具有较强的针对性。</w:t>
      </w:r>
    </w:p>
    <w:p w14:paraId="505873C2">
      <w:pPr>
        <w:adjustRightInd w:val="0"/>
        <w:snapToGrid w:val="0"/>
        <w:spacing w:line="240" w:lineRule="auto"/>
        <w:ind w:firstLine="480" w:firstLineChars="200"/>
        <w:rPr>
          <w:rFonts w:hint="default" w:cs="Times New Roman"/>
          <w:szCs w:val="24"/>
          <w:highlight w:val="none"/>
          <w:lang w:val="en-US" w:eastAsia="zh-CN"/>
        </w:rPr>
      </w:pPr>
      <w:r>
        <w:rPr>
          <w:rFonts w:hint="default" w:cs="Times New Roman"/>
          <w:szCs w:val="24"/>
          <w:highlight w:val="none"/>
          <w:lang w:val="en-US" w:eastAsia="zh-CN"/>
        </w:rPr>
        <w:t>2.与国外建筑通风及室内空气质量控制指南的关联</w:t>
      </w:r>
    </w:p>
    <w:p w14:paraId="7944D4F4">
      <w:pPr>
        <w:adjustRightInd w:val="0"/>
        <w:snapToGrid w:val="0"/>
        <w:spacing w:line="240" w:lineRule="auto"/>
        <w:ind w:firstLine="480" w:firstLineChars="200"/>
        <w:rPr>
          <w:rFonts w:hint="default" w:cs="Times New Roman"/>
          <w:szCs w:val="24"/>
          <w:highlight w:val="none"/>
        </w:rPr>
      </w:pPr>
      <w:r>
        <w:rPr>
          <w:rFonts w:hint="default" w:cs="Times New Roman"/>
          <w:szCs w:val="24"/>
          <w:highlight w:val="none"/>
        </w:rPr>
        <w:t>世界卫生组织（WHO）的《WHO guidelines for indoor air quality: selected pollutants》、美国供暖制冷与空调工程师学会（ASHRAE）的标准（如ASHRAE Standard 62.1-2022 Ventilation and Acceptable Indoor Air Quality）是室内环境领域的权威文件。这些文件主要从通风工程控制和健康效应角度，规定了热舒适参数、化学污染物及生物污染的总体控制目标。本文件与这些指南是相辅相成的关系：ASHRAE等标准提供</w:t>
      </w:r>
      <w:r>
        <w:rPr>
          <w:rFonts w:hint="default" w:cs="Times New Roman"/>
          <w:szCs w:val="24"/>
          <w:highlight w:val="none"/>
          <w:lang w:val="en-US" w:eastAsia="zh-CN"/>
        </w:rPr>
        <w:t>了控制</w:t>
      </w:r>
      <w:r>
        <w:rPr>
          <w:rFonts w:hint="default" w:cs="Times New Roman"/>
          <w:szCs w:val="24"/>
          <w:highlight w:val="none"/>
        </w:rPr>
        <w:t>目标和工程手段，本文件提供了空气中病原体</w:t>
      </w:r>
      <w:r>
        <w:rPr>
          <w:rFonts w:hint="default" w:cs="Times New Roman"/>
          <w:szCs w:val="24"/>
          <w:highlight w:val="none"/>
          <w:lang w:val="en-US" w:eastAsia="zh-CN"/>
        </w:rPr>
        <w:t>采样的</w:t>
      </w:r>
      <w:r>
        <w:rPr>
          <w:rFonts w:hint="default" w:cs="Times New Roman"/>
          <w:szCs w:val="24"/>
          <w:highlight w:val="none"/>
        </w:rPr>
        <w:t>具体方法。本文件要求监测CO</w:t>
      </w:r>
      <w:r>
        <w:rPr>
          <w:rFonts w:hint="default" w:cs="Times New Roman"/>
          <w:szCs w:val="24"/>
          <w:highlight w:val="none"/>
          <w:vertAlign w:val="subscript"/>
          <w:lang w:eastAsia="zh-CN"/>
        </w:rPr>
        <w:t>2</w:t>
      </w:r>
      <w:r>
        <w:rPr>
          <w:rFonts w:hint="default" w:cs="Times New Roman"/>
          <w:szCs w:val="24"/>
          <w:highlight w:val="none"/>
        </w:rPr>
        <w:t>浓度，正是对通风效果（人员密度相关）的一种实时评估，与ASHRAE的通风理念</w:t>
      </w:r>
      <w:r>
        <w:rPr>
          <w:rFonts w:hint="default" w:cs="Times New Roman"/>
          <w:szCs w:val="24"/>
          <w:highlight w:val="none"/>
          <w:lang w:val="en-US" w:eastAsia="zh-CN"/>
        </w:rPr>
        <w:t>保持</w:t>
      </w:r>
      <w:r>
        <w:rPr>
          <w:rFonts w:hint="default" w:cs="Times New Roman"/>
          <w:szCs w:val="24"/>
          <w:highlight w:val="none"/>
        </w:rPr>
        <w:t>一致。</w:t>
      </w:r>
    </w:p>
    <w:p w14:paraId="32601B0D">
      <w:pPr>
        <w:adjustRightInd w:val="0"/>
        <w:snapToGrid w:val="0"/>
        <w:spacing w:line="240" w:lineRule="auto"/>
        <w:ind w:firstLine="480" w:firstLineChars="200"/>
        <w:rPr>
          <w:rFonts w:hint="default" w:eastAsia="仿宋" w:cs="Times New Roman"/>
          <w:szCs w:val="24"/>
          <w:highlight w:val="none"/>
          <w:lang w:val="en-US" w:eastAsia="zh-CN"/>
        </w:rPr>
      </w:pPr>
      <w:r>
        <w:rPr>
          <w:rFonts w:hint="default" w:cs="Times New Roman"/>
          <w:szCs w:val="24"/>
          <w:highlight w:val="none"/>
          <w:lang w:val="en-US" w:eastAsia="zh-CN"/>
        </w:rPr>
        <w:t>3.与国外学校健康安全文件比较</w:t>
      </w:r>
    </w:p>
    <w:p w14:paraId="49CBE2DE">
      <w:pPr>
        <w:adjustRightInd w:val="0"/>
        <w:snapToGrid w:val="0"/>
        <w:spacing w:line="240" w:lineRule="auto"/>
        <w:ind w:firstLine="480" w:firstLineChars="200"/>
        <w:rPr>
          <w:rFonts w:hint="default" w:cs="Times New Roman"/>
          <w:szCs w:val="24"/>
          <w:highlight w:val="none"/>
        </w:rPr>
      </w:pPr>
      <w:r>
        <w:rPr>
          <w:rFonts w:hint="default" w:cs="Times New Roman"/>
          <w:szCs w:val="24"/>
          <w:highlight w:val="none"/>
        </w:rPr>
        <w:t>发达国家</w:t>
      </w:r>
      <w:r>
        <w:rPr>
          <w:rFonts w:hint="default" w:cs="Times New Roman"/>
          <w:szCs w:val="24"/>
          <w:highlight w:val="none"/>
          <w:lang w:val="en-US" w:eastAsia="zh-CN"/>
        </w:rPr>
        <w:t>部分</w:t>
      </w:r>
      <w:r>
        <w:rPr>
          <w:rFonts w:hint="default" w:cs="Times New Roman"/>
          <w:szCs w:val="24"/>
          <w:highlight w:val="none"/>
        </w:rPr>
        <w:t>学校</w:t>
      </w:r>
      <w:r>
        <w:rPr>
          <w:rFonts w:hint="default" w:cs="Times New Roman"/>
          <w:szCs w:val="24"/>
          <w:highlight w:val="none"/>
          <w:lang w:val="en-US" w:eastAsia="zh-CN"/>
        </w:rPr>
        <w:t>会制定</w:t>
      </w:r>
      <w:r>
        <w:rPr>
          <w:rFonts w:hint="default" w:cs="Times New Roman"/>
          <w:szCs w:val="24"/>
          <w:highlight w:val="none"/>
        </w:rPr>
        <w:t>环境健康与安全计划，其中包含对室内空气质量（IAQ）的例行检查，特别是在过敏、哮喘高发季节或传染病流行期。美国环境保护署（EPA）发布的《Indoor Air Quality Tools for Schools》是</w:t>
      </w:r>
      <w:r>
        <w:rPr>
          <w:rFonts w:hint="default" w:cs="Times New Roman"/>
          <w:szCs w:val="24"/>
          <w:highlight w:val="none"/>
          <w:lang w:val="en-US" w:eastAsia="zh-CN"/>
        </w:rPr>
        <w:t>用于学校空气质量管理的</w:t>
      </w:r>
      <w:r>
        <w:rPr>
          <w:rFonts w:hint="default" w:cs="Times New Roman"/>
          <w:szCs w:val="24"/>
          <w:highlight w:val="none"/>
        </w:rPr>
        <w:t>指导性文件。然而，</w:t>
      </w:r>
      <w:r>
        <w:rPr>
          <w:rFonts w:hint="default" w:cs="Times New Roman"/>
          <w:szCs w:val="24"/>
          <w:highlight w:val="none"/>
          <w:lang w:val="en-US" w:eastAsia="zh-CN"/>
        </w:rPr>
        <w:t>该文件</w:t>
      </w:r>
      <w:r>
        <w:rPr>
          <w:rFonts w:hint="default" w:cs="Times New Roman"/>
          <w:szCs w:val="24"/>
          <w:highlight w:val="none"/>
        </w:rPr>
        <w:t>侧重于管理框架和投诉响应，对于病原体的主动</w:t>
      </w:r>
      <w:r>
        <w:rPr>
          <w:rFonts w:hint="default" w:cs="Times New Roman"/>
          <w:szCs w:val="24"/>
          <w:highlight w:val="none"/>
          <w:lang w:val="en-US" w:eastAsia="zh-CN"/>
        </w:rPr>
        <w:t>采样</w:t>
      </w:r>
      <w:r>
        <w:rPr>
          <w:rFonts w:hint="default" w:cs="Times New Roman"/>
          <w:szCs w:val="24"/>
          <w:highlight w:val="none"/>
        </w:rPr>
        <w:t>监测，</w:t>
      </w:r>
      <w:r>
        <w:rPr>
          <w:rFonts w:hint="default" w:cs="Times New Roman"/>
          <w:szCs w:val="24"/>
          <w:highlight w:val="none"/>
          <w:lang w:val="en-US" w:eastAsia="zh-CN"/>
        </w:rPr>
        <w:t>缺少技术性指导</w:t>
      </w:r>
      <w:r>
        <w:rPr>
          <w:rFonts w:hint="default" w:cs="Times New Roman"/>
          <w:szCs w:val="24"/>
          <w:highlight w:val="none"/>
        </w:rPr>
        <w:t>，且未要求使用智能、联网、大流量的专业设备。本文件的先进性在于，它将原本用于</w:t>
      </w:r>
      <w:r>
        <w:rPr>
          <w:rFonts w:hint="default" w:cs="Times New Roman"/>
          <w:szCs w:val="24"/>
          <w:highlight w:val="none"/>
          <w:lang w:val="en-US" w:eastAsia="zh-CN"/>
        </w:rPr>
        <w:t>传染病</w:t>
      </w:r>
      <w:r>
        <w:rPr>
          <w:rFonts w:hint="default" w:cs="Times New Roman"/>
          <w:szCs w:val="24"/>
          <w:highlight w:val="none"/>
        </w:rPr>
        <w:t>疫情调查的主动式、大流量、智能化病原体</w:t>
      </w:r>
      <w:r>
        <w:rPr>
          <w:rFonts w:hint="default" w:cs="Times New Roman"/>
          <w:szCs w:val="24"/>
          <w:highlight w:val="none"/>
          <w:lang w:val="en-US" w:eastAsia="zh-CN"/>
        </w:rPr>
        <w:t>采样</w:t>
      </w:r>
      <w:r>
        <w:rPr>
          <w:rFonts w:hint="default" w:cs="Times New Roman"/>
          <w:szCs w:val="24"/>
          <w:highlight w:val="none"/>
        </w:rPr>
        <w:t>监测技术，进行了标准化、流程化，使其可以转化为可定期</w:t>
      </w:r>
      <w:r>
        <w:rPr>
          <w:rFonts w:hint="default" w:cs="Times New Roman"/>
          <w:szCs w:val="24"/>
          <w:highlight w:val="none"/>
          <w:lang w:val="en-US" w:eastAsia="zh-CN"/>
        </w:rPr>
        <w:t>开展</w:t>
      </w:r>
      <w:r>
        <w:rPr>
          <w:rFonts w:hint="default" w:cs="Times New Roman"/>
          <w:szCs w:val="24"/>
          <w:highlight w:val="none"/>
        </w:rPr>
        <w:t>的常规预防性监测项目，实现了学校</w:t>
      </w:r>
      <w:r>
        <w:rPr>
          <w:rFonts w:hint="default" w:cs="Times New Roman"/>
          <w:szCs w:val="24"/>
          <w:highlight w:val="none"/>
          <w:lang w:val="en-US" w:eastAsia="zh-CN"/>
        </w:rPr>
        <w:t>环境健康智能化管理</w:t>
      </w:r>
      <w:r>
        <w:rPr>
          <w:rFonts w:hint="default" w:cs="Times New Roman"/>
          <w:szCs w:val="24"/>
          <w:highlight w:val="none"/>
        </w:rPr>
        <w:t>。</w:t>
      </w:r>
    </w:p>
    <w:p w14:paraId="320F59A1">
      <w:pPr>
        <w:adjustRightInd w:val="0"/>
        <w:snapToGrid w:val="0"/>
        <w:spacing w:line="240" w:lineRule="auto"/>
        <w:ind w:firstLine="480" w:firstLineChars="200"/>
        <w:rPr>
          <w:rFonts w:hint="default" w:cs="Times New Roman"/>
          <w:szCs w:val="24"/>
          <w:highlight w:val="none"/>
        </w:rPr>
      </w:pPr>
      <w:r>
        <w:rPr>
          <w:rFonts w:hint="default" w:cs="Times New Roman"/>
          <w:szCs w:val="24"/>
          <w:highlight w:val="none"/>
        </w:rPr>
        <w:t>总体而言，本文件与国际现有通用标准相比具有</w:t>
      </w:r>
      <w:r>
        <w:rPr>
          <w:rFonts w:hint="default" w:cs="Times New Roman"/>
          <w:szCs w:val="24"/>
          <w:highlight w:val="none"/>
          <w:lang w:val="en-US" w:eastAsia="zh-CN"/>
        </w:rPr>
        <w:t>一定的针对性和</w:t>
      </w:r>
      <w:r>
        <w:rPr>
          <w:rFonts w:hint="default" w:cs="Times New Roman"/>
          <w:szCs w:val="24"/>
          <w:highlight w:val="none"/>
        </w:rPr>
        <w:t>领先性</w:t>
      </w:r>
      <w:r>
        <w:rPr>
          <w:rFonts w:hint="default" w:cs="Times New Roman"/>
          <w:szCs w:val="24"/>
          <w:highlight w:val="none"/>
          <w:lang w:eastAsia="zh-CN"/>
        </w:rPr>
        <w:t>，</w:t>
      </w:r>
      <w:r>
        <w:rPr>
          <w:rFonts w:hint="default" w:cs="Times New Roman"/>
          <w:szCs w:val="24"/>
          <w:highlight w:val="none"/>
        </w:rPr>
        <w:t>形成了</w:t>
      </w:r>
      <w:r>
        <w:rPr>
          <w:rFonts w:hint="default" w:cs="Times New Roman"/>
          <w:szCs w:val="24"/>
          <w:highlight w:val="none"/>
          <w:lang w:val="en-US" w:eastAsia="zh-CN"/>
        </w:rPr>
        <w:t>可应用于中国学校教室的</w:t>
      </w:r>
      <w:r>
        <w:rPr>
          <w:rFonts w:hint="default" w:cs="Times New Roman"/>
          <w:szCs w:val="24"/>
          <w:highlight w:val="none"/>
        </w:rPr>
        <w:t>可操作技术标准。</w:t>
      </w:r>
      <w:r>
        <w:rPr>
          <w:rFonts w:hint="default" w:cs="Times New Roman"/>
          <w:szCs w:val="24"/>
          <w:highlight w:val="none"/>
          <w:lang w:val="en-US" w:eastAsia="zh-CN"/>
        </w:rPr>
        <w:t>与WHO、EPA等相近国际标准无矛盾之处</w:t>
      </w:r>
      <w:r>
        <w:rPr>
          <w:rFonts w:hint="default" w:cs="Times New Roman"/>
          <w:szCs w:val="24"/>
          <w:highlight w:val="none"/>
        </w:rPr>
        <w:t>。</w:t>
      </w:r>
    </w:p>
    <w:bookmarkEnd w:id="105"/>
    <w:bookmarkEnd w:id="106"/>
    <w:bookmarkEnd w:id="107"/>
    <w:bookmarkEnd w:id="108"/>
    <w:bookmarkEnd w:id="109"/>
    <w:bookmarkEnd w:id="110"/>
    <w:bookmarkEnd w:id="111"/>
    <w:bookmarkEnd w:id="112"/>
    <w:bookmarkEnd w:id="113"/>
    <w:bookmarkEnd w:id="114"/>
    <w:bookmarkEnd w:id="115"/>
    <w:bookmarkEnd w:id="116"/>
    <w:p w14:paraId="0D6559AA">
      <w:pPr>
        <w:pStyle w:val="2"/>
        <w:spacing w:before="0" w:after="0"/>
        <w:rPr>
          <w:sz w:val="28"/>
        </w:rPr>
      </w:pPr>
      <w:bookmarkStart w:id="117" w:name="_Toc10429"/>
      <w:bookmarkStart w:id="118" w:name="_Toc30647"/>
      <w:bookmarkStart w:id="119" w:name="_Toc16775"/>
      <w:r>
        <w:rPr>
          <w:rFonts w:hint="eastAsia"/>
          <w:sz w:val="28"/>
          <w:lang w:val="en-US" w:eastAsia="zh-CN"/>
        </w:rPr>
        <w:t>四、标准的制定、修订与起草原则</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117"/>
      <w:bookmarkEnd w:id="118"/>
      <w:bookmarkEnd w:id="119"/>
    </w:p>
    <w:p w14:paraId="6EDD8FCE">
      <w:pPr>
        <w:adjustRightInd w:val="0"/>
        <w:snapToGrid w:val="0"/>
        <w:spacing w:line="240" w:lineRule="auto"/>
        <w:ind w:firstLine="480" w:firstLineChars="200"/>
        <w:rPr>
          <w:rFonts w:hint="eastAsia" w:cs="Times New Roman"/>
          <w:szCs w:val="24"/>
          <w:lang w:val="en-US" w:eastAsia="zh-CN"/>
        </w:rPr>
      </w:pPr>
      <w:bookmarkStart w:id="120" w:name="_Toc67407052"/>
      <w:bookmarkStart w:id="121" w:name="_Toc91173572"/>
      <w:bookmarkStart w:id="122" w:name="_Toc69553239"/>
      <w:r>
        <w:rPr>
          <w:rFonts w:hint="eastAsia" w:cs="Times New Roman"/>
          <w:szCs w:val="24"/>
          <w:lang w:val="en-US" w:eastAsia="zh-CN"/>
        </w:rPr>
        <w:t>本文件的制定遵循以下原则：</w:t>
      </w:r>
    </w:p>
    <w:p w14:paraId="11551662">
      <w:pPr>
        <w:adjustRightInd w:val="0"/>
        <w:snapToGrid w:val="0"/>
        <w:spacing w:line="240" w:lineRule="auto"/>
        <w:ind w:firstLine="480" w:firstLineChars="200"/>
        <w:rPr>
          <w:rFonts w:hint="eastAsia" w:eastAsia="仿宋" w:cs="Times New Roman"/>
          <w:szCs w:val="24"/>
          <w:lang w:val="en-US" w:eastAsia="zh-CN"/>
        </w:rPr>
      </w:pPr>
      <w:r>
        <w:rPr>
          <w:rFonts w:cs="Times New Roman"/>
          <w:szCs w:val="24"/>
        </w:rPr>
        <w:t>1.</w:t>
      </w:r>
      <w:r>
        <w:rPr>
          <w:rFonts w:hint="eastAsia" w:cs="Times New Roman"/>
          <w:szCs w:val="24"/>
        </w:rPr>
        <w:t>先进性</w:t>
      </w:r>
      <w:r>
        <w:rPr>
          <w:rFonts w:hint="eastAsia" w:cs="Times New Roman"/>
          <w:szCs w:val="24"/>
          <w:lang w:val="en-US" w:eastAsia="zh-CN"/>
        </w:rPr>
        <w:t>与</w:t>
      </w:r>
      <w:r>
        <w:rPr>
          <w:rFonts w:hint="eastAsia" w:cs="Times New Roman"/>
          <w:szCs w:val="24"/>
        </w:rPr>
        <w:t>科学性：</w:t>
      </w:r>
      <w:r>
        <w:rPr>
          <w:rFonts w:hint="eastAsia" w:cs="Times New Roman"/>
          <w:szCs w:val="24"/>
          <w:lang w:val="en-US" w:eastAsia="zh-CN"/>
        </w:rPr>
        <w:t>本文件</w:t>
      </w:r>
      <w:r>
        <w:rPr>
          <w:rFonts w:hint="eastAsia" w:cs="Times New Roman"/>
          <w:szCs w:val="24"/>
        </w:rPr>
        <w:t>以环境科学、微生物学、流体力学和物联网技术为理论基础，采纳大流量气旋式采样、物联网、智能传感与无线传输等先进技术，</w:t>
      </w:r>
      <w:r>
        <w:rPr>
          <w:rFonts w:hint="eastAsia" w:cs="Times New Roman"/>
          <w:szCs w:val="24"/>
          <w:lang w:val="en-US" w:eastAsia="zh-CN"/>
        </w:rPr>
        <w:t>结合现场技术比对数据，</w:t>
      </w:r>
      <w:r>
        <w:rPr>
          <w:rFonts w:hint="eastAsia" w:cs="Times New Roman"/>
          <w:szCs w:val="24"/>
        </w:rPr>
        <w:t>确保技术内容的</w:t>
      </w:r>
      <w:r>
        <w:rPr>
          <w:rFonts w:hint="eastAsia" w:cs="Times New Roman"/>
          <w:szCs w:val="24"/>
          <w:lang w:val="en-US" w:eastAsia="zh-CN"/>
        </w:rPr>
        <w:t>先进</w:t>
      </w:r>
      <w:r>
        <w:rPr>
          <w:rFonts w:hint="eastAsia" w:cs="Times New Roman"/>
          <w:szCs w:val="24"/>
        </w:rPr>
        <w:t>性</w:t>
      </w:r>
      <w:r>
        <w:rPr>
          <w:rFonts w:hint="eastAsia" w:cs="Times New Roman"/>
          <w:szCs w:val="24"/>
          <w:lang w:val="en-US" w:eastAsia="zh-CN"/>
        </w:rPr>
        <w:t>和科学性</w:t>
      </w:r>
      <w:r>
        <w:rPr>
          <w:rFonts w:hint="eastAsia" w:cs="Times New Roman"/>
          <w:szCs w:val="24"/>
          <w:lang w:eastAsia="zh-CN"/>
        </w:rPr>
        <w:t>。</w:t>
      </w:r>
    </w:p>
    <w:p w14:paraId="41D3B63D">
      <w:pPr>
        <w:adjustRightInd w:val="0"/>
        <w:snapToGrid w:val="0"/>
        <w:spacing w:line="240" w:lineRule="auto"/>
        <w:ind w:firstLine="480" w:firstLineChars="200"/>
        <w:rPr>
          <w:rFonts w:cs="Times New Roman"/>
          <w:szCs w:val="24"/>
        </w:rPr>
      </w:pPr>
      <w:r>
        <w:rPr>
          <w:rFonts w:cs="Times New Roman"/>
          <w:szCs w:val="24"/>
        </w:rPr>
        <w:t>2.</w:t>
      </w:r>
      <w:r>
        <w:rPr>
          <w:rFonts w:hint="eastAsia" w:cs="Times New Roman"/>
          <w:szCs w:val="24"/>
        </w:rPr>
        <w:t>适用性与可操作性：</w:t>
      </w:r>
      <w:r>
        <w:rPr>
          <w:rFonts w:hint="eastAsia" w:cs="Times New Roman"/>
          <w:szCs w:val="24"/>
          <w:lang w:val="en-US" w:eastAsia="zh-CN"/>
        </w:rPr>
        <w:t>本文件提出的技术要求，均考虑了</w:t>
      </w:r>
      <w:r>
        <w:rPr>
          <w:rFonts w:hint="eastAsia" w:cs="Times New Roman"/>
          <w:szCs w:val="24"/>
          <w:lang w:eastAsia="zh-CN"/>
        </w:rPr>
        <w:t>教室</w:t>
      </w:r>
      <w:r>
        <w:rPr>
          <w:rFonts w:hint="eastAsia" w:cs="Times New Roman"/>
          <w:szCs w:val="24"/>
          <w:lang w:val="en-US" w:eastAsia="zh-CN"/>
        </w:rPr>
        <w:t>的面积</w:t>
      </w:r>
      <w:r>
        <w:rPr>
          <w:rFonts w:hint="eastAsia" w:cs="Times New Roman"/>
          <w:szCs w:val="24"/>
        </w:rPr>
        <w:t>空间、</w:t>
      </w:r>
      <w:r>
        <w:rPr>
          <w:rFonts w:hint="eastAsia" w:cs="Times New Roman"/>
          <w:szCs w:val="24"/>
          <w:lang w:val="en-US" w:eastAsia="zh-CN"/>
        </w:rPr>
        <w:t>学生活动的时空规律性</w:t>
      </w:r>
      <w:r>
        <w:rPr>
          <w:rFonts w:hint="eastAsia" w:cs="Times New Roman"/>
          <w:szCs w:val="24"/>
        </w:rPr>
        <w:t>、</w:t>
      </w:r>
      <w:r>
        <w:rPr>
          <w:rFonts w:hint="eastAsia" w:cs="Times New Roman"/>
          <w:szCs w:val="24"/>
          <w:lang w:val="en-US" w:eastAsia="zh-CN"/>
        </w:rPr>
        <w:t>以及教学日程的固定性</w:t>
      </w:r>
      <w:r>
        <w:rPr>
          <w:rFonts w:hint="eastAsia" w:cs="Times New Roman"/>
          <w:szCs w:val="24"/>
        </w:rPr>
        <w:t>等特点，</w:t>
      </w:r>
      <w:r>
        <w:rPr>
          <w:rFonts w:hint="eastAsia" w:cs="Times New Roman"/>
          <w:szCs w:val="24"/>
          <w:lang w:val="en-US" w:eastAsia="zh-CN"/>
        </w:rPr>
        <w:t>确保本标准提出技术要求的适用性和可操作性，</w:t>
      </w:r>
      <w:r>
        <w:rPr>
          <w:rFonts w:hint="eastAsia" w:cs="Times New Roman"/>
          <w:szCs w:val="24"/>
        </w:rPr>
        <w:t>能够有效指导</w:t>
      </w:r>
      <w:r>
        <w:rPr>
          <w:rFonts w:hint="eastAsia" w:cs="Times New Roman"/>
          <w:szCs w:val="24"/>
          <w:lang w:val="en-US" w:eastAsia="zh-CN"/>
        </w:rPr>
        <w:t>学校教室空气的采样监测</w:t>
      </w:r>
      <w:r>
        <w:rPr>
          <w:rFonts w:hint="eastAsia" w:cs="Times New Roman"/>
          <w:szCs w:val="24"/>
        </w:rPr>
        <w:t>工作。。</w:t>
      </w:r>
    </w:p>
    <w:p w14:paraId="762D1D39">
      <w:pPr>
        <w:adjustRightInd w:val="0"/>
        <w:snapToGrid w:val="0"/>
        <w:spacing w:line="240" w:lineRule="auto"/>
        <w:ind w:firstLine="480" w:firstLineChars="200"/>
        <w:rPr>
          <w:rFonts w:cs="Times New Roman"/>
          <w:szCs w:val="24"/>
        </w:rPr>
      </w:pPr>
      <w:r>
        <w:rPr>
          <w:rFonts w:cs="Times New Roman"/>
          <w:szCs w:val="24"/>
        </w:rPr>
        <w:t>3.</w:t>
      </w:r>
      <w:r>
        <w:rPr>
          <w:rFonts w:hint="eastAsia" w:cs="Times New Roman"/>
          <w:szCs w:val="24"/>
        </w:rPr>
        <w:t>协调性与规范性：与我国现行的国家标准</w:t>
      </w:r>
      <w:r>
        <w:rPr>
          <w:rFonts w:hint="eastAsia" w:cs="Times New Roman"/>
          <w:szCs w:val="24"/>
          <w:lang w:eastAsia="zh-CN"/>
        </w:rPr>
        <w:t>（GB/T 18204系列、JJF系列、GB/T 38517等）充分协调</w:t>
      </w:r>
      <w:r>
        <w:rPr>
          <w:rFonts w:hint="eastAsia" w:cs="Times New Roman"/>
          <w:szCs w:val="24"/>
        </w:rPr>
        <w:t>，确保与国家现行法规标准体系的</w:t>
      </w:r>
      <w:r>
        <w:rPr>
          <w:rFonts w:hint="eastAsia" w:cs="Times New Roman"/>
          <w:szCs w:val="24"/>
          <w:lang w:val="en-US" w:eastAsia="zh-CN"/>
        </w:rPr>
        <w:t>协调性和规范</w:t>
      </w:r>
      <w:r>
        <w:rPr>
          <w:rFonts w:hint="eastAsia" w:cs="Times New Roman"/>
          <w:szCs w:val="24"/>
        </w:rPr>
        <w:t>性。</w:t>
      </w:r>
    </w:p>
    <w:p w14:paraId="7CF85C53">
      <w:pPr>
        <w:pStyle w:val="2"/>
        <w:spacing w:before="0" w:after="0"/>
        <w:rPr>
          <w:rFonts w:hint="default"/>
          <w:sz w:val="28"/>
          <w:lang w:val="en-US" w:eastAsia="zh-CN"/>
        </w:rPr>
      </w:pPr>
      <w:bookmarkStart w:id="123" w:name="_Toc10376"/>
      <w:bookmarkStart w:id="124" w:name="_Toc27930"/>
      <w:bookmarkStart w:id="125" w:name="_Toc5970"/>
      <w:r>
        <w:rPr>
          <w:rFonts w:hint="eastAsia"/>
          <w:sz w:val="28"/>
          <w:lang w:val="en-US" w:eastAsia="zh-CN"/>
        </w:rPr>
        <w:t>五、确定各项技术内容（如技术指标、参数、公式、试验方法、检验规则等）的依据</w:t>
      </w:r>
      <w:bookmarkEnd w:id="123"/>
      <w:bookmarkEnd w:id="124"/>
      <w:bookmarkEnd w:id="125"/>
    </w:p>
    <w:p w14:paraId="25B313FE">
      <w:pPr>
        <w:pStyle w:val="3"/>
        <w:spacing w:before="156" w:after="156" w:line="240" w:lineRule="auto"/>
        <w:ind w:firstLine="482"/>
        <w:rPr>
          <w:rFonts w:cs="Times New Roman"/>
          <w:b w:val="0"/>
          <w:bCs w:val="0"/>
        </w:rPr>
      </w:pPr>
      <w:bookmarkStart w:id="126" w:name="_Toc25991"/>
      <w:bookmarkStart w:id="127" w:name="_Toc384"/>
      <w:bookmarkStart w:id="128" w:name="_Toc31145"/>
      <w:bookmarkStart w:id="129" w:name="_Toc18199"/>
      <w:bookmarkStart w:id="130" w:name="_Toc16493"/>
      <w:bookmarkStart w:id="131" w:name="_Toc30315"/>
      <w:bookmarkStart w:id="132" w:name="_Toc10664"/>
      <w:bookmarkStart w:id="133" w:name="_Toc3438"/>
      <w:bookmarkStart w:id="134" w:name="_Toc19792"/>
      <w:bookmarkStart w:id="135" w:name="_Toc19427"/>
      <w:bookmarkStart w:id="136" w:name="_Toc6994"/>
      <w:bookmarkStart w:id="137" w:name="_Toc2923"/>
      <w:bookmarkStart w:id="138" w:name="_Toc4702"/>
      <w:r>
        <w:rPr>
          <w:rFonts w:hint="default" w:cs="Times New Roman"/>
        </w:rPr>
        <w:t>（</w:t>
      </w:r>
      <w:r>
        <w:rPr>
          <w:rFonts w:hint="default" w:cs="Times New Roman"/>
          <w:lang w:val="en-US" w:eastAsia="zh-CN"/>
        </w:rPr>
        <w:t>一</w:t>
      </w:r>
      <w:r>
        <w:rPr>
          <w:rFonts w:hint="default" w:cs="Times New Roman"/>
        </w:rPr>
        <w:t>）技术要求的</w:t>
      </w:r>
      <w:r>
        <w:rPr>
          <w:rFonts w:hint="default" w:cs="Times New Roman"/>
          <w:lang w:val="en-US" w:eastAsia="zh-CN"/>
        </w:rPr>
        <w:t>编制</w:t>
      </w:r>
      <w:r>
        <w:rPr>
          <w:rFonts w:hint="default" w:cs="Times New Roman"/>
        </w:rPr>
        <w:t>依据</w:t>
      </w:r>
      <w:bookmarkEnd w:id="126"/>
      <w:bookmarkEnd w:id="127"/>
      <w:bookmarkEnd w:id="128"/>
      <w:bookmarkEnd w:id="129"/>
      <w:bookmarkEnd w:id="130"/>
      <w:bookmarkEnd w:id="131"/>
      <w:bookmarkEnd w:id="132"/>
      <w:bookmarkEnd w:id="133"/>
      <w:bookmarkEnd w:id="134"/>
      <w:bookmarkEnd w:id="135"/>
      <w:bookmarkEnd w:id="136"/>
      <w:bookmarkEnd w:id="137"/>
      <w:bookmarkEnd w:id="138"/>
    </w:p>
    <w:p w14:paraId="360B8F5A">
      <w:pPr>
        <w:pStyle w:val="4"/>
        <w:bidi w:val="0"/>
        <w:rPr>
          <w:rFonts w:hint="default" w:cs="Times New Roman"/>
          <w:lang w:val="en-US" w:eastAsia="zh-CN"/>
        </w:rPr>
      </w:pPr>
      <w:bookmarkStart w:id="139" w:name="_Toc16501"/>
      <w:bookmarkStart w:id="140" w:name="_Toc4006"/>
      <w:bookmarkStart w:id="141" w:name="_Toc21573"/>
      <w:bookmarkStart w:id="142" w:name="_Toc17129"/>
      <w:r>
        <w:rPr>
          <w:rFonts w:hint="default" w:cs="Times New Roman"/>
          <w:lang w:val="en-US" w:eastAsia="zh-CN"/>
        </w:rPr>
        <w:t>1.范围</w:t>
      </w:r>
      <w:bookmarkEnd w:id="139"/>
      <w:bookmarkEnd w:id="140"/>
      <w:bookmarkEnd w:id="141"/>
    </w:p>
    <w:p w14:paraId="5A1F7F03">
      <w:pPr>
        <w:adjustRightInd w:val="0"/>
        <w:snapToGrid w:val="0"/>
        <w:spacing w:line="240" w:lineRule="auto"/>
        <w:ind w:firstLine="480" w:firstLineChars="200"/>
        <w:rPr>
          <w:rFonts w:hint="default" w:cs="Times New Roman"/>
          <w:szCs w:val="24"/>
          <w:lang w:val="en-US" w:eastAsia="zh-CN"/>
        </w:rPr>
      </w:pPr>
      <w:r>
        <w:rPr>
          <w:rFonts w:hint="default" w:cs="Times New Roman"/>
          <w:szCs w:val="24"/>
          <w:lang w:val="en-US" w:eastAsia="zh-CN"/>
        </w:rPr>
        <w:t>本文件规定了教室室内空气中病原体的现场智能采样、样本包装运输保存、质量控制和采样记录报告等技术要求。</w:t>
      </w:r>
    </w:p>
    <w:p w14:paraId="6F16444A">
      <w:pPr>
        <w:adjustRightInd w:val="0"/>
        <w:snapToGrid w:val="0"/>
        <w:spacing w:line="240" w:lineRule="auto"/>
        <w:ind w:firstLine="480" w:firstLineChars="200"/>
        <w:rPr>
          <w:rFonts w:hint="default" w:cs="Times New Roman"/>
          <w:szCs w:val="24"/>
          <w:lang w:val="en-US" w:eastAsia="zh-CN"/>
        </w:rPr>
      </w:pPr>
      <w:r>
        <w:rPr>
          <w:rFonts w:hint="default" w:cs="Times New Roman"/>
          <w:szCs w:val="24"/>
          <w:lang w:val="en-US" w:eastAsia="zh-CN"/>
        </w:rPr>
        <w:t>本文件适用于各类学校（如中小学、高等院校等）的教室、实验室、图书馆等主要教学场所的空气病原体采样（不包括集中空调通风系统），其他类似教育培训机构可参考使用。</w:t>
      </w:r>
    </w:p>
    <w:p w14:paraId="0AB3F12F">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编制依据：</w:t>
      </w:r>
    </w:p>
    <w:p w14:paraId="09A476E2">
      <w:pPr>
        <w:adjustRightInd w:val="0"/>
        <w:snapToGrid w:val="0"/>
        <w:spacing w:line="240" w:lineRule="auto"/>
        <w:ind w:firstLine="480" w:firstLineChars="200"/>
        <w:rPr>
          <w:rFonts w:hint="default" w:cs="Times New Roman"/>
          <w:szCs w:val="24"/>
          <w:lang w:val="en-US" w:eastAsia="zh-CN"/>
        </w:rPr>
      </w:pPr>
      <w:r>
        <w:rPr>
          <w:rFonts w:hint="default" w:cs="Times New Roman"/>
          <w:szCs w:val="24"/>
          <w:lang w:val="en-US" w:eastAsia="zh-CN"/>
        </w:rPr>
        <w:t>明确</w:t>
      </w:r>
      <w:r>
        <w:rPr>
          <w:rFonts w:hint="eastAsia" w:cs="Times New Roman"/>
          <w:szCs w:val="24"/>
          <w:lang w:val="en-US" w:eastAsia="zh-CN"/>
        </w:rPr>
        <w:t>本文件规定了标准对象、目标、方式和技术特征。本文件</w:t>
      </w:r>
      <w:r>
        <w:rPr>
          <w:rFonts w:hint="default" w:cs="Times New Roman"/>
          <w:szCs w:val="24"/>
          <w:lang w:val="en-US" w:eastAsia="zh-CN"/>
        </w:rPr>
        <w:t>适用于各类学校的主要教学场所，点明不包括集中空调通风系统。教室是师生聚集、暴露时间最长的核心场所，是呼吸道传染病校内传播的关键风险点。现场智能采样主要针对有人活动的室内空间空气，与集中空调通风系统风管内部卫生状况采样在方法、设备、评价标准上不同。集中空调通风系统的采样</w:t>
      </w:r>
      <w:r>
        <w:rPr>
          <w:rFonts w:hint="eastAsia" w:cs="Times New Roman"/>
          <w:szCs w:val="24"/>
          <w:lang w:val="en-US" w:eastAsia="zh-CN"/>
        </w:rPr>
        <w:t>按照</w:t>
      </w:r>
      <w:r>
        <w:rPr>
          <w:rFonts w:hint="default" w:cs="Times New Roman"/>
          <w:szCs w:val="24"/>
          <w:lang w:val="en-US" w:eastAsia="zh-CN"/>
        </w:rPr>
        <w:t>GB/T 18204.5《公共场所卫生检验方法 第5部分：集中空调通风系统》等国家标准专门规定。</w:t>
      </w:r>
      <w:r>
        <w:rPr>
          <w:rFonts w:hint="eastAsia" w:cs="Times New Roman"/>
          <w:szCs w:val="24"/>
          <w:lang w:val="en-US" w:eastAsia="zh-CN"/>
        </w:rPr>
        <w:t>将</w:t>
      </w:r>
      <w:r>
        <w:rPr>
          <w:rFonts w:hint="default" w:cs="Times New Roman"/>
          <w:szCs w:val="24"/>
          <w:lang w:val="en-US" w:eastAsia="zh-CN"/>
        </w:rPr>
        <w:t>集中空调通风系统</w:t>
      </w:r>
      <w:r>
        <w:rPr>
          <w:rFonts w:hint="eastAsia" w:cs="Times New Roman"/>
          <w:szCs w:val="24"/>
          <w:lang w:val="en-US" w:eastAsia="zh-CN"/>
        </w:rPr>
        <w:t>排除</w:t>
      </w:r>
      <w:r>
        <w:rPr>
          <w:rFonts w:hint="default" w:cs="Times New Roman"/>
          <w:szCs w:val="24"/>
          <w:lang w:val="en-US" w:eastAsia="zh-CN"/>
        </w:rPr>
        <w:t>，避免了标准间的交叉和矛盾，体现了标准的专业性和准确性。</w:t>
      </w:r>
    </w:p>
    <w:p w14:paraId="1C39ACC6">
      <w:pPr>
        <w:pStyle w:val="4"/>
        <w:bidi w:val="0"/>
        <w:rPr>
          <w:rFonts w:hint="default" w:cs="Times New Roman"/>
          <w:lang w:val="en-US" w:eastAsia="zh-CN"/>
        </w:rPr>
      </w:pPr>
      <w:bookmarkStart w:id="143" w:name="_Toc15459"/>
      <w:bookmarkStart w:id="144" w:name="_Toc21769"/>
      <w:bookmarkStart w:id="145" w:name="_Toc27156"/>
      <w:r>
        <w:rPr>
          <w:rFonts w:hint="default" w:cs="Times New Roman"/>
          <w:lang w:val="en-US" w:eastAsia="zh-CN"/>
        </w:rPr>
        <w:t>2.规范性引用文件</w:t>
      </w:r>
      <w:bookmarkEnd w:id="143"/>
      <w:bookmarkEnd w:id="144"/>
      <w:bookmarkEnd w:id="145"/>
    </w:p>
    <w:p w14:paraId="3EF1E3A0">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本文件规范性引用文件包括：</w:t>
      </w:r>
    </w:p>
    <w:p w14:paraId="36138057">
      <w:pPr>
        <w:adjustRightInd w:val="0"/>
        <w:snapToGrid w:val="0"/>
        <w:spacing w:line="240" w:lineRule="auto"/>
        <w:ind w:firstLine="480" w:firstLineChars="200"/>
        <w:rPr>
          <w:rFonts w:hint="default" w:cs="Times New Roman"/>
          <w:szCs w:val="24"/>
          <w:lang w:val="en-US" w:eastAsia="zh-CN"/>
        </w:rPr>
      </w:pPr>
      <w:r>
        <w:rPr>
          <w:rFonts w:hint="default" w:cs="Times New Roman"/>
          <w:szCs w:val="24"/>
          <w:lang w:val="en-US" w:eastAsia="zh-CN"/>
        </w:rPr>
        <w:t>GB/T 18204.3 公共场所卫生检验方法 第3部分：空气微生物</w:t>
      </w:r>
    </w:p>
    <w:p w14:paraId="1FC2D4F4">
      <w:pPr>
        <w:adjustRightInd w:val="0"/>
        <w:snapToGrid w:val="0"/>
        <w:spacing w:line="240" w:lineRule="auto"/>
        <w:ind w:firstLine="480" w:firstLineChars="200"/>
        <w:rPr>
          <w:rFonts w:hint="default" w:cs="Times New Roman"/>
          <w:szCs w:val="24"/>
          <w:lang w:val="en-US" w:eastAsia="zh-CN"/>
        </w:rPr>
      </w:pPr>
      <w:r>
        <w:rPr>
          <w:rFonts w:hint="default" w:cs="Times New Roman"/>
          <w:szCs w:val="24"/>
          <w:lang w:val="en-US" w:eastAsia="zh-CN"/>
        </w:rPr>
        <w:t>GB 19489 实验室 生物安全通用要求</w:t>
      </w:r>
    </w:p>
    <w:p w14:paraId="2FE16749">
      <w:pPr>
        <w:adjustRightInd w:val="0"/>
        <w:snapToGrid w:val="0"/>
        <w:spacing w:line="240" w:lineRule="auto"/>
        <w:ind w:firstLine="480" w:firstLineChars="200"/>
        <w:rPr>
          <w:rFonts w:hint="default" w:cs="Times New Roman"/>
          <w:szCs w:val="24"/>
          <w:lang w:val="en-US" w:eastAsia="zh-CN"/>
        </w:rPr>
      </w:pPr>
      <w:r>
        <w:rPr>
          <w:rFonts w:hint="default" w:cs="Times New Roman"/>
          <w:szCs w:val="24"/>
          <w:lang w:val="en-US" w:eastAsia="zh-CN"/>
        </w:rPr>
        <w:t>GB/T 38517 颗粒 生物气溶胶采样和分析 通则</w:t>
      </w:r>
    </w:p>
    <w:p w14:paraId="54C4FE67">
      <w:pPr>
        <w:adjustRightInd w:val="0"/>
        <w:snapToGrid w:val="0"/>
        <w:spacing w:line="240" w:lineRule="auto"/>
        <w:ind w:firstLine="480" w:firstLineChars="200"/>
        <w:rPr>
          <w:rFonts w:hint="default" w:cs="Times New Roman"/>
          <w:szCs w:val="24"/>
          <w:lang w:val="en-US" w:eastAsia="zh-CN"/>
        </w:rPr>
      </w:pPr>
      <w:r>
        <w:rPr>
          <w:rFonts w:hint="default" w:cs="Times New Roman"/>
          <w:szCs w:val="24"/>
          <w:lang w:val="en-US" w:eastAsia="zh-CN"/>
        </w:rPr>
        <w:t>JJF 1826 空气微生物采样器校准规范</w:t>
      </w:r>
    </w:p>
    <w:p w14:paraId="2915377F">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JJF 2304 生物气溶胶采样器校准规范</w:t>
      </w:r>
    </w:p>
    <w:p w14:paraId="2AC49CE7">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编制依据：</w:t>
      </w:r>
    </w:p>
    <w:p w14:paraId="33D441FD">
      <w:pPr>
        <w:adjustRightInd w:val="0"/>
        <w:snapToGrid w:val="0"/>
        <w:spacing w:line="240" w:lineRule="auto"/>
        <w:ind w:firstLine="480" w:firstLineChars="200"/>
        <w:rPr>
          <w:rFonts w:hint="default" w:cs="Times New Roman"/>
          <w:szCs w:val="24"/>
          <w:lang w:val="en-US" w:eastAsia="zh-CN"/>
        </w:rPr>
      </w:pPr>
      <w:r>
        <w:rPr>
          <w:rFonts w:hint="default" w:cs="Times New Roman"/>
          <w:szCs w:val="24"/>
          <w:lang w:val="en-US" w:eastAsia="zh-CN"/>
        </w:rPr>
        <w:t>所列文件构成了支撑本文件技术体系的核心。​GB/T 18204.3是空气微生物检验的通用方法基础；GB 19489是保障生物安全的强制性要求；GB/T 38517为生物气溶胶采样与分析提供了通用技术框架；JJF 1826</w:t>
      </w:r>
      <w:r>
        <w:rPr>
          <w:rFonts w:hint="eastAsia" w:cs="Times New Roman"/>
          <w:szCs w:val="24"/>
          <w:lang w:val="en-US" w:eastAsia="zh-CN"/>
        </w:rPr>
        <w:t>、JJF 2304 生物气溶胶采样器校准规范</w:t>
      </w:r>
      <w:r>
        <w:rPr>
          <w:rFonts w:hint="default" w:cs="Times New Roman"/>
          <w:szCs w:val="24"/>
          <w:lang w:val="en-US" w:eastAsia="zh-CN"/>
        </w:rPr>
        <w:t>是确保采样数据准确、可溯源的计量基础。这些引用确保了本标准与国家标准体系的协调统一</w:t>
      </w:r>
      <w:r>
        <w:rPr>
          <w:rFonts w:hint="eastAsia" w:cs="Times New Roman"/>
          <w:szCs w:val="24"/>
          <w:lang w:val="en-US" w:eastAsia="zh-CN"/>
        </w:rPr>
        <w:t>。</w:t>
      </w:r>
    </w:p>
    <w:p w14:paraId="1D476644">
      <w:pPr>
        <w:pStyle w:val="4"/>
        <w:bidi w:val="0"/>
        <w:rPr>
          <w:rFonts w:hint="default" w:cs="Times New Roman"/>
          <w:lang w:val="en-US" w:eastAsia="zh-CN"/>
        </w:rPr>
      </w:pPr>
      <w:bookmarkStart w:id="146" w:name="_Toc14561"/>
      <w:bookmarkStart w:id="147" w:name="_Toc18640"/>
      <w:bookmarkStart w:id="148" w:name="_Toc4405"/>
      <w:r>
        <w:rPr>
          <w:rFonts w:hint="default" w:cs="Times New Roman"/>
          <w:lang w:val="en-US" w:eastAsia="zh-CN"/>
        </w:rPr>
        <w:t>3.术语定义</w:t>
      </w:r>
      <w:bookmarkEnd w:id="146"/>
      <w:bookmarkEnd w:id="147"/>
      <w:bookmarkEnd w:id="148"/>
    </w:p>
    <w:p w14:paraId="3CFA9721">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（1）空气病原体 airborne pathogens</w:t>
      </w:r>
    </w:p>
    <w:p w14:paraId="2DB6FF11">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空气中可造成人或动物感染疾病的微生物（包括细菌、病毒、立克次体、寄生虫、真菌）或微生物重组体（包括杂交体或突变体）。</w:t>
      </w:r>
    </w:p>
    <w:p w14:paraId="386316AB">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编制依据：</w:t>
      </w:r>
    </w:p>
    <w:p w14:paraId="5034A95B">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依据</w:t>
      </w:r>
      <w:r>
        <w:rPr>
          <w:rFonts w:hint="default" w:cs="Times New Roman"/>
          <w:szCs w:val="24"/>
          <w:lang w:val="en-US" w:eastAsia="zh-CN"/>
        </w:rPr>
        <w:t>感染病学名词</w:t>
      </w:r>
      <w:r>
        <w:rPr>
          <w:rFonts w:hint="eastAsia" w:cs="Times New Roman"/>
          <w:szCs w:val="24"/>
          <w:lang w:val="en-US" w:eastAsia="zh-CN"/>
        </w:rPr>
        <w:t>“病原体”</w:t>
      </w:r>
      <w:r>
        <w:rPr>
          <w:rStyle w:val="32"/>
          <w:rFonts w:hint="eastAsia" w:cs="Times New Roman"/>
          <w:szCs w:val="24"/>
          <w:lang w:val="en-US" w:eastAsia="zh-CN"/>
        </w:rPr>
        <w:t>[</w:t>
      </w:r>
      <w:r>
        <w:rPr>
          <w:rStyle w:val="32"/>
          <w:rFonts w:hint="eastAsia" w:cs="Times New Roman"/>
          <w:szCs w:val="24"/>
          <w:lang w:val="en-US" w:eastAsia="zh-CN"/>
        </w:rPr>
        <w:footnoteReference w:id="0"/>
      </w:r>
      <w:r>
        <w:rPr>
          <w:rStyle w:val="32"/>
          <w:rFonts w:hint="eastAsia" w:cs="Times New Roman"/>
          <w:szCs w:val="24"/>
          <w:lang w:val="en-US" w:eastAsia="zh-CN"/>
        </w:rPr>
        <w:t>]</w:t>
      </w:r>
      <w:r>
        <w:rPr>
          <w:rFonts w:hint="eastAsia" w:cs="Times New Roman"/>
          <w:szCs w:val="24"/>
          <w:lang w:val="en-US" w:eastAsia="zh-CN"/>
        </w:rPr>
        <w:t>进行改编，增加“空气中”环境情景，限定适用范围。</w:t>
      </w:r>
    </w:p>
    <w:p w14:paraId="2C844B5A">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（2）生物气溶胶 bioaerosol</w:t>
      </w:r>
    </w:p>
    <w:p w14:paraId="48017543">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含有生物性成分的固体或液体微粒悬浮于气体介质中形成的稳定分散系。</w:t>
      </w:r>
    </w:p>
    <w:p w14:paraId="1D789E4B">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注：生物性成分包括细菌、病毒、真菌、孢子、毒素等。生物气溶胶粒子粒径在0.01 μm~100 μm之间。</w:t>
      </w:r>
    </w:p>
    <w:p w14:paraId="0E388557">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编制依据：</w:t>
      </w:r>
    </w:p>
    <w:p w14:paraId="545A9370">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定义引用了GB/T 38517-2020《颗粒 生物气溶胶采样和分析 通则》中生物气溶胶概念，并与微生物学、公共卫生学的通用定义保持一致，明确了监测目标的生物属性和物理形态范围。</w:t>
      </w:r>
    </w:p>
    <w:p w14:paraId="40BA9F10">
      <w:pPr>
        <w:numPr>
          <w:ilvl w:val="0"/>
          <w:numId w:val="0"/>
        </w:numPr>
        <w:adjustRightInd w:val="0"/>
        <w:snapToGrid w:val="0"/>
        <w:spacing w:line="240" w:lineRule="auto"/>
        <w:ind w:firstLine="480" w:firstLineChars="200"/>
        <w:rPr>
          <w:rFonts w:hint="eastAsia" w:cs="Times New Roman"/>
          <w:szCs w:val="24"/>
          <w:lang w:val="en-US" w:eastAsia="zh-CN"/>
        </w:rPr>
      </w:pPr>
      <w:r>
        <w:rPr>
          <w:rFonts w:hint="eastAsia" w:cs="Times New Roman"/>
          <w:kern w:val="2"/>
          <w:sz w:val="24"/>
          <w:szCs w:val="24"/>
          <w:lang w:val="en-US" w:eastAsia="zh-CN" w:bidi="ar-SA"/>
        </w:rPr>
        <w:t>（3）</w:t>
      </w:r>
      <w:r>
        <w:rPr>
          <w:rFonts w:hint="eastAsia" w:cs="Times New Roman"/>
          <w:szCs w:val="24"/>
          <w:lang w:val="en-US" w:eastAsia="zh-CN"/>
        </w:rPr>
        <w:t>智能采样</w:t>
      </w:r>
    </w:p>
    <w:p w14:paraId="4F2A05CE">
      <w:pPr>
        <w:adjustRightInd w:val="0"/>
        <w:snapToGrid w:val="0"/>
        <w:spacing w:line="240" w:lineRule="auto"/>
        <w:ind w:firstLine="480" w:firstLineChars="200"/>
        <w:rPr>
          <w:rFonts w:hint="default" w:cs="Times New Roman"/>
          <w:szCs w:val="24"/>
          <w:lang w:val="en-US" w:eastAsia="zh-CN"/>
        </w:rPr>
      </w:pPr>
      <w:r>
        <w:rPr>
          <w:rFonts w:hint="default" w:cs="Times New Roman"/>
          <w:szCs w:val="24"/>
          <w:lang w:val="en-US" w:eastAsia="zh-CN"/>
        </w:rPr>
        <w:t>智能采样指可实现自动化运行、实时</w:t>
      </w:r>
      <w:r>
        <w:rPr>
          <w:rFonts w:hint="eastAsia" w:cs="Times New Roman"/>
          <w:szCs w:val="24"/>
          <w:lang w:val="en-US" w:eastAsia="zh-CN"/>
        </w:rPr>
        <w:t>环境</w:t>
      </w:r>
      <w:r>
        <w:rPr>
          <w:rFonts w:hint="default" w:cs="Times New Roman"/>
          <w:szCs w:val="24"/>
          <w:lang w:val="en-US" w:eastAsia="zh-CN"/>
        </w:rPr>
        <w:t>感知、采样流量自动校准、GPS定位、采样数据自动记录与无线传输等功能的采样系统，鼓励物联网技术集成。</w:t>
      </w:r>
    </w:p>
    <w:p w14:paraId="47F68E86">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编制依据：</w:t>
      </w:r>
    </w:p>
    <w:p w14:paraId="70217A71">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该术语结合了“自动采样”（定义：采样过程中不需人干预，通过仪器设备能按预先编定的程序进行连续或不连续地采样。</w:t>
      </w:r>
      <w:r>
        <w:rPr>
          <w:rStyle w:val="32"/>
          <w:rFonts w:hint="eastAsia" w:cs="Times New Roman"/>
          <w:szCs w:val="24"/>
          <w:lang w:val="en-US" w:eastAsia="zh-CN"/>
        </w:rPr>
        <w:t>[</w:t>
      </w:r>
      <w:r>
        <w:rPr>
          <w:rStyle w:val="32"/>
          <w:rFonts w:hint="eastAsia" w:cs="Times New Roman"/>
          <w:szCs w:val="24"/>
          <w:lang w:val="en-US" w:eastAsia="zh-CN"/>
        </w:rPr>
        <w:footnoteReference w:id="1"/>
      </w:r>
      <w:r>
        <w:rPr>
          <w:rStyle w:val="32"/>
          <w:rFonts w:hint="eastAsia" w:cs="Times New Roman"/>
          <w:szCs w:val="24"/>
          <w:lang w:val="en-US" w:eastAsia="zh-CN"/>
        </w:rPr>
        <w:t>]</w:t>
      </w:r>
      <w:r>
        <w:rPr>
          <w:rFonts w:hint="eastAsia" w:cs="Times New Roman"/>
          <w:szCs w:val="24"/>
          <w:lang w:val="en-US" w:eastAsia="zh-CN"/>
        </w:rPr>
        <w:t>）“智能化系统”（定义：由现代通信与信息技术、计算机网络技术、行业技术、智能控制技术汇集而成的针对某一个方面应用的系统。</w:t>
      </w:r>
      <w:r>
        <w:rPr>
          <w:rStyle w:val="32"/>
          <w:rFonts w:hint="eastAsia" w:cs="Times New Roman"/>
          <w:szCs w:val="24"/>
          <w:lang w:val="en-US" w:eastAsia="zh-CN"/>
        </w:rPr>
        <w:t>[</w:t>
      </w:r>
      <w:r>
        <w:rPr>
          <w:rStyle w:val="32"/>
          <w:rFonts w:hint="eastAsia" w:cs="Times New Roman"/>
          <w:szCs w:val="24"/>
          <w:lang w:val="en-US" w:eastAsia="zh-CN"/>
        </w:rPr>
        <w:footnoteReference w:id="2"/>
      </w:r>
      <w:r>
        <w:rPr>
          <w:rStyle w:val="32"/>
          <w:rFonts w:hint="eastAsia" w:cs="Times New Roman"/>
          <w:szCs w:val="24"/>
          <w:lang w:val="en-US" w:eastAsia="zh-CN"/>
        </w:rPr>
        <w:t>]</w:t>
      </w:r>
      <w:r>
        <w:rPr>
          <w:rFonts w:hint="eastAsia" w:cs="Times New Roman"/>
          <w:szCs w:val="24"/>
          <w:lang w:val="en-US" w:eastAsia="zh-CN"/>
        </w:rPr>
        <w:t>）的定义，综合了物联网、环境传感、自动控制等技术在环境监测领域的发展趋势，参考了《关于推动疾病预防控制事业高质量发展的指导意见》（国办发〔2023〕46号）</w:t>
      </w:r>
      <w:r>
        <w:rPr>
          <w:rStyle w:val="32"/>
          <w:rFonts w:hint="eastAsia" w:cs="Times New Roman"/>
          <w:szCs w:val="24"/>
          <w:lang w:val="en-US" w:eastAsia="zh-CN"/>
        </w:rPr>
        <w:t>[</w:t>
      </w:r>
      <w:r>
        <w:rPr>
          <w:rStyle w:val="32"/>
          <w:rFonts w:hint="eastAsia" w:cs="Times New Roman"/>
          <w:szCs w:val="24"/>
          <w:lang w:val="en-US" w:eastAsia="zh-CN"/>
        </w:rPr>
        <w:footnoteReference w:id="3"/>
      </w:r>
      <w:r>
        <w:rPr>
          <w:rStyle w:val="32"/>
          <w:rFonts w:hint="eastAsia" w:cs="Times New Roman"/>
          <w:szCs w:val="24"/>
          <w:lang w:val="en-US" w:eastAsia="zh-CN"/>
        </w:rPr>
        <w:t>]</w:t>
      </w:r>
      <w:r>
        <w:rPr>
          <w:rFonts w:hint="eastAsia" w:cs="Times New Roman"/>
          <w:szCs w:val="24"/>
          <w:lang w:val="en-US" w:eastAsia="zh-CN"/>
        </w:rPr>
        <w:t>中关于自动获取病原体检测数据、提高数据集成、风险识别、智能分析和及时预警等能力的要求，并考虑教室室内环境特点和现场采样需求，编写了该定义，以实现数据信息的自动采集、传输、加工、存储、控制等功能。</w:t>
      </w:r>
    </w:p>
    <w:p w14:paraId="6E8F475B">
      <w:pPr>
        <w:numPr>
          <w:ilvl w:val="0"/>
          <w:numId w:val="0"/>
        </w:numPr>
        <w:adjustRightInd w:val="0"/>
        <w:snapToGrid w:val="0"/>
        <w:spacing w:line="240" w:lineRule="auto"/>
        <w:ind w:left="0" w:leftChars="0" w:firstLine="480" w:firstLineChars="200"/>
        <w:rPr>
          <w:rFonts w:hint="eastAsia" w:cs="Times New Roman"/>
          <w:szCs w:val="24"/>
          <w:lang w:val="en-US" w:eastAsia="zh-CN"/>
        </w:rPr>
      </w:pPr>
      <w:r>
        <w:rPr>
          <w:rFonts w:hint="eastAsia" w:cs="Times New Roman"/>
          <w:kern w:val="2"/>
          <w:sz w:val="24"/>
          <w:szCs w:val="24"/>
          <w:lang w:val="en-US" w:eastAsia="zh-CN" w:bidi="ar-SA"/>
        </w:rPr>
        <w:t>（4）</w:t>
      </w:r>
      <w:r>
        <w:rPr>
          <w:rFonts w:hint="eastAsia" w:cs="Times New Roman"/>
          <w:szCs w:val="24"/>
          <w:lang w:val="en-US" w:eastAsia="zh-CN"/>
        </w:rPr>
        <w:t>气旋式采样 liquid impact sampling</w:t>
      </w:r>
    </w:p>
    <w:p w14:paraId="7C39619A">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液体冲击式采样的一种，利用微生物粒子在气流旋转过程中的惯性离心力，将微生物从气流中分离并捕集于器壁，再借助重力作用使粒子落入采样器底部收集介质中。</w:t>
      </w:r>
      <w:r>
        <w:rPr>
          <w:rFonts w:hint="default" w:cs="Times New Roman"/>
          <w:szCs w:val="24"/>
          <w:lang w:val="en-US" w:eastAsia="zh-CN"/>
        </w:rPr>
        <w:t>。</w:t>
      </w:r>
    </w:p>
    <w:p w14:paraId="6ED959DA">
      <w:pPr>
        <w:numPr>
          <w:ilvl w:val="0"/>
          <w:numId w:val="0"/>
        </w:numPr>
        <w:adjustRightInd w:val="0"/>
        <w:snapToGrid w:val="0"/>
        <w:spacing w:line="240" w:lineRule="auto"/>
        <w:ind w:leftChars="200"/>
        <w:rPr>
          <w:rFonts w:hint="default" w:cs="Times New Roman"/>
          <w:szCs w:val="24"/>
          <w:lang w:val="en-US" w:eastAsia="zh-CN"/>
        </w:rPr>
      </w:pPr>
      <w:r>
        <w:rPr>
          <w:rFonts w:hint="eastAsia" w:cs="Times New Roman"/>
          <w:szCs w:val="24"/>
          <w:lang w:val="en-US" w:eastAsia="zh-CN"/>
        </w:rPr>
        <w:t>编制依据：</w:t>
      </w:r>
    </w:p>
    <w:p w14:paraId="4CD8B1CF">
      <w:pPr>
        <w:adjustRightInd w:val="0"/>
        <w:snapToGrid w:val="0"/>
        <w:spacing w:line="240" w:lineRule="auto"/>
        <w:ind w:firstLine="480" w:firstLineChars="200"/>
        <w:rPr>
          <w:rFonts w:hint="eastAsia" w:cs="Times New Roman"/>
          <w:szCs w:val="24"/>
          <w:lang w:val="en-US" w:eastAsia="zh-CN"/>
        </w:rPr>
      </w:pPr>
      <w:r>
        <w:rPr>
          <w:rFonts w:hint="default" w:cs="Times New Roman"/>
          <w:szCs w:val="24"/>
          <w:lang w:val="en-US" w:eastAsia="zh-CN"/>
        </w:rPr>
        <w:t>定义参考了</w:t>
      </w:r>
      <w:r>
        <w:rPr>
          <w:rFonts w:hint="eastAsia" w:cs="Times New Roman"/>
          <w:szCs w:val="24"/>
          <w:lang w:val="en-US" w:eastAsia="zh-CN"/>
        </w:rPr>
        <w:t>徐羽贞</w:t>
      </w:r>
      <w:r>
        <w:rPr>
          <w:rStyle w:val="32"/>
          <w:rFonts w:hint="eastAsia" w:cs="Times New Roman"/>
          <w:szCs w:val="24"/>
          <w:lang w:val="en-US" w:eastAsia="zh-CN"/>
        </w:rPr>
        <w:t>[</w:t>
      </w:r>
      <w:r>
        <w:rPr>
          <w:rStyle w:val="32"/>
          <w:rFonts w:hint="eastAsia" w:cs="Times New Roman"/>
          <w:szCs w:val="24"/>
          <w:lang w:val="en-US" w:eastAsia="zh-CN"/>
        </w:rPr>
        <w:footnoteReference w:id="4"/>
      </w:r>
      <w:r>
        <w:rPr>
          <w:rStyle w:val="32"/>
          <w:rFonts w:hint="eastAsia" w:cs="Times New Roman"/>
          <w:szCs w:val="24"/>
          <w:lang w:val="en-US" w:eastAsia="zh-CN"/>
        </w:rPr>
        <w:t>]</w:t>
      </w:r>
      <w:r>
        <w:rPr>
          <w:rFonts w:hint="eastAsia" w:cs="Times New Roman"/>
          <w:szCs w:val="24"/>
          <w:lang w:val="en-US" w:eastAsia="zh-CN"/>
        </w:rPr>
        <w:t>、</w:t>
      </w:r>
      <w:r>
        <w:rPr>
          <w:rStyle w:val="32"/>
          <w:rFonts w:cs="Times New Roman"/>
          <w:szCs w:val="24"/>
          <w:vertAlign w:val="baseline"/>
        </w:rPr>
        <w:t>王彦杰</w:t>
      </w:r>
      <w:r>
        <w:rPr>
          <w:rStyle w:val="32"/>
          <w:rFonts w:cs="Times New Roman"/>
          <w:szCs w:val="24"/>
        </w:rPr>
        <w:t>[</w:t>
      </w:r>
      <w:r>
        <w:rPr>
          <w:rStyle w:val="32"/>
          <w:rFonts w:cs="Times New Roman"/>
          <w:szCs w:val="24"/>
        </w:rPr>
        <w:footnoteReference w:id="5"/>
      </w:r>
      <w:r>
        <w:rPr>
          <w:rStyle w:val="32"/>
          <w:rFonts w:cs="Times New Roman"/>
          <w:szCs w:val="24"/>
        </w:rPr>
        <w:t>]</w:t>
      </w:r>
      <w:r>
        <w:rPr>
          <w:rFonts w:hint="eastAsia" w:cs="Times New Roman"/>
          <w:szCs w:val="24"/>
          <w:lang w:val="en-US" w:eastAsia="zh-CN"/>
        </w:rPr>
        <w:t>等多篇参考文献</w:t>
      </w:r>
      <w:r>
        <w:rPr>
          <w:rFonts w:hint="default" w:cs="Times New Roman"/>
          <w:szCs w:val="24"/>
          <w:lang w:val="en-US" w:eastAsia="zh-CN"/>
        </w:rPr>
        <w:t>，</w:t>
      </w:r>
      <w:r>
        <w:rPr>
          <w:rFonts w:hint="eastAsia" w:cs="Times New Roman"/>
          <w:szCs w:val="24"/>
          <w:lang w:val="en-US" w:eastAsia="zh-CN"/>
        </w:rPr>
        <w:t>依据气旋式采样的技术特点和气溶胶采样原理编写该术语。</w:t>
      </w:r>
    </w:p>
    <w:p w14:paraId="33C1A9AD">
      <w:pPr>
        <w:pStyle w:val="4"/>
        <w:bidi w:val="0"/>
        <w:rPr>
          <w:rFonts w:hint="default" w:cs="Times New Roman"/>
          <w:lang w:val="en-US" w:eastAsia="zh-CN"/>
        </w:rPr>
      </w:pPr>
      <w:bookmarkStart w:id="149" w:name="_Toc24956"/>
      <w:bookmarkStart w:id="150" w:name="_Toc918"/>
      <w:bookmarkStart w:id="151" w:name="_Toc1831"/>
      <w:r>
        <w:rPr>
          <w:rFonts w:hint="default" w:cs="Times New Roman"/>
          <w:lang w:val="en-US" w:eastAsia="zh-CN"/>
        </w:rPr>
        <w:t>4.智能采样系统构成</w:t>
      </w:r>
      <w:bookmarkEnd w:id="149"/>
      <w:bookmarkEnd w:id="150"/>
      <w:bookmarkEnd w:id="151"/>
    </w:p>
    <w:p w14:paraId="511E369C">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（1）</w:t>
      </w:r>
      <w:r>
        <w:rPr>
          <w:rFonts w:hint="default" w:cs="Times New Roman"/>
          <w:szCs w:val="24"/>
          <w:lang w:val="en-US" w:eastAsia="zh-CN"/>
        </w:rPr>
        <w:t>核心采样设备</w:t>
      </w:r>
    </w:p>
    <w:p w14:paraId="1C54385A">
      <w:pPr>
        <w:adjustRightInd w:val="0"/>
        <w:snapToGrid w:val="0"/>
        <w:spacing w:line="240" w:lineRule="auto"/>
        <w:ind w:firstLine="480" w:firstLineChars="200"/>
        <w:rPr>
          <w:rFonts w:hint="default" w:cs="Times New Roman"/>
          <w:szCs w:val="24"/>
          <w:lang w:val="en-US" w:eastAsia="zh-CN"/>
        </w:rPr>
      </w:pPr>
      <w:r>
        <w:rPr>
          <w:rFonts w:hint="default" w:cs="Times New Roman"/>
          <w:szCs w:val="24"/>
          <w:lang w:val="en-US" w:eastAsia="zh-CN"/>
        </w:rPr>
        <w:t>气旋式生物气溶胶采样器（以下简称采样器）：利用旋风式分尘器浓缩空气微生物气溶胶，再撞击到采集液中的采样设备。推荐使用气旋式生物气溶胶采样器等基于撞击原理的智能设备。</w:t>
      </w:r>
    </w:p>
    <w:p w14:paraId="7D74538C">
      <w:pPr>
        <w:adjustRightInd w:val="0"/>
        <w:snapToGrid w:val="0"/>
        <w:spacing w:line="240" w:lineRule="auto"/>
        <w:ind w:firstLine="480" w:firstLineChars="200"/>
        <w:rPr>
          <w:rFonts w:hint="default" w:cs="Times New Roman"/>
          <w:szCs w:val="24"/>
          <w:lang w:val="en-US" w:eastAsia="zh-CN"/>
        </w:rPr>
      </w:pPr>
      <w:r>
        <w:rPr>
          <w:rFonts w:hint="default" w:cs="Times New Roman"/>
          <w:szCs w:val="24"/>
          <w:lang w:val="en-US" w:eastAsia="zh-CN"/>
        </w:rPr>
        <w:t>采样流量通常不低于300 L/min，粒子切割点（Da50）通常在0.5µm-1.0µm，以满足对病毒等小颗粒气溶胶的有效采集。</w:t>
      </w:r>
    </w:p>
    <w:p w14:paraId="6D338297">
      <w:pPr>
        <w:adjustRightInd w:val="0"/>
        <w:snapToGrid w:val="0"/>
        <w:spacing w:line="240" w:lineRule="auto"/>
        <w:ind w:firstLine="480" w:firstLineChars="200"/>
        <w:rPr>
          <w:rFonts w:hint="eastAsia" w:cs="Times New Roman"/>
          <w:szCs w:val="24"/>
          <w:lang w:val="en-US" w:eastAsia="zh-CN"/>
        </w:rPr>
      </w:pPr>
      <w:r>
        <w:rPr>
          <w:rFonts w:hint="default" w:cs="Times New Roman"/>
          <w:szCs w:val="24"/>
          <w:lang w:val="en-US" w:eastAsia="zh-CN"/>
        </w:rPr>
        <w:t>采集范围包括但不限于细菌、病毒、真菌孢子、花粉、尘螨等生物气溶胶颗粒，采集介质为水、缓冲液、矿物油等多种液体。</w:t>
      </w:r>
    </w:p>
    <w:p w14:paraId="158F05C1">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编制依据：</w:t>
      </w:r>
    </w:p>
    <w:p w14:paraId="401FEBD7">
      <w:pPr>
        <w:adjustRightInd w:val="0"/>
        <w:snapToGrid w:val="0"/>
        <w:spacing w:line="240" w:lineRule="auto"/>
        <w:ind w:firstLine="480" w:firstLineChars="200"/>
        <w:rPr>
          <w:rFonts w:hint="eastAsia" w:cs="Times New Roman"/>
          <w:szCs w:val="24"/>
        </w:rPr>
      </w:pPr>
      <w:r>
        <w:rPr>
          <w:rFonts w:hint="eastAsia" w:cs="Times New Roman"/>
          <w:szCs w:val="24"/>
          <w:lang w:eastAsia="zh-CN"/>
        </w:rPr>
        <w:t>“</w:t>
      </w:r>
      <w:r>
        <w:rPr>
          <w:rFonts w:hint="eastAsia" w:cs="Times New Roman"/>
          <w:szCs w:val="24"/>
        </w:rPr>
        <w:t>气旋式生物气溶胶采样器</w:t>
      </w:r>
      <w:r>
        <w:rPr>
          <w:rFonts w:hint="eastAsia" w:cs="Times New Roman"/>
          <w:szCs w:val="24"/>
          <w:lang w:eastAsia="zh-CN"/>
        </w:rPr>
        <w:t>”</w:t>
      </w:r>
      <w:r>
        <w:rPr>
          <w:rFonts w:hint="eastAsia" w:cs="Times New Roman"/>
          <w:szCs w:val="24"/>
        </w:rPr>
        <w:t>，是因其具有大流量、高效率的特点，特别适合捕获病毒等小粒径气溶胶。研究表明，许多呼吸道病毒的载体粒径在1-5μm之间，气旋式采样器设定的Da50（空气动力学质量中位直径）在0.5µm-1.0µm，能确保对这部分高风险粒子的有效采集。相比传统安德森撞击器（流量约28.3 L/min），不低于300 L/min的大流量能在短时间内富集足量空气体积，提高对低浓度病原体的检出能力，满足早期预警需求。</w:t>
      </w:r>
    </w:p>
    <w:p w14:paraId="0442A3CB">
      <w:pPr>
        <w:adjustRightInd w:val="0"/>
        <w:snapToGrid w:val="0"/>
        <w:spacing w:line="240" w:lineRule="auto"/>
        <w:ind w:firstLine="480" w:firstLineChars="200"/>
        <w:rPr>
          <w:rFonts w:hint="eastAsia" w:cs="Times New Roman"/>
          <w:szCs w:val="24"/>
        </w:rPr>
      </w:pPr>
      <w:r>
        <w:rPr>
          <w:rFonts w:hint="eastAsia" w:cs="Times New Roman"/>
          <w:szCs w:val="24"/>
          <w:lang w:eastAsia="zh-CN"/>
        </w:rPr>
        <w:t>“</w:t>
      </w:r>
      <w:r>
        <w:rPr>
          <w:rFonts w:hint="eastAsia" w:cs="Times New Roman"/>
          <w:szCs w:val="24"/>
        </w:rPr>
        <w:t>流量不低于300 L/min</w:t>
      </w:r>
      <w:r>
        <w:rPr>
          <w:rFonts w:hint="eastAsia" w:cs="Times New Roman"/>
          <w:szCs w:val="24"/>
          <w:lang w:eastAsia="zh-CN"/>
        </w:rPr>
        <w:t>”</w:t>
      </w:r>
      <w:r>
        <w:rPr>
          <w:rFonts w:hint="eastAsia" w:cs="Times New Roman"/>
          <w:szCs w:val="24"/>
        </w:rPr>
        <w:t>、</w:t>
      </w:r>
      <w:r>
        <w:rPr>
          <w:rFonts w:hint="eastAsia" w:cs="Times New Roman"/>
          <w:szCs w:val="24"/>
          <w:lang w:eastAsia="zh-CN"/>
        </w:rPr>
        <w:t>“</w:t>
      </w:r>
      <w:r>
        <w:rPr>
          <w:rFonts w:hint="eastAsia" w:cs="Times New Roman"/>
          <w:szCs w:val="24"/>
        </w:rPr>
        <w:t>Da50在0.5µm-1.0µm</w:t>
      </w:r>
      <w:r>
        <w:rPr>
          <w:rFonts w:hint="eastAsia" w:cs="Times New Roman"/>
          <w:szCs w:val="24"/>
          <w:lang w:eastAsia="zh-CN"/>
        </w:rPr>
        <w:t>”</w:t>
      </w:r>
      <w:r>
        <w:rPr>
          <w:rFonts w:hint="eastAsia" w:cs="Times New Roman"/>
          <w:szCs w:val="24"/>
        </w:rPr>
        <w:t>是综合了国内外主流高性能气旋式/液体冲击式采样器（如美国BioSpot-VIVAS，部分国产型号）的技术指标，以及针对</w:t>
      </w:r>
      <w:r>
        <w:rPr>
          <w:rFonts w:hint="eastAsia" w:cs="Times New Roman"/>
          <w:szCs w:val="24"/>
          <w:lang w:val="en-US" w:eastAsia="zh-CN"/>
        </w:rPr>
        <w:t>微生物</w:t>
      </w:r>
      <w:r>
        <w:rPr>
          <w:rFonts w:hint="eastAsia" w:cs="Times New Roman"/>
          <w:szCs w:val="24"/>
        </w:rPr>
        <w:t>气溶胶采样的研究结论而确定的。</w:t>
      </w:r>
    </w:p>
    <w:p w14:paraId="23BBDFB0">
      <w:pPr>
        <w:adjustRightInd w:val="0"/>
        <w:snapToGrid w:val="0"/>
        <w:spacing w:line="240" w:lineRule="auto"/>
        <w:ind w:firstLine="480" w:firstLineChars="200"/>
        <w:rPr>
          <w:rFonts w:hint="default" w:cs="Times New Roman"/>
          <w:lang w:val="en-US" w:eastAsia="zh-CN"/>
        </w:rPr>
      </w:pPr>
      <w:r>
        <w:rPr>
          <w:rFonts w:hint="default" w:cs="Times New Roman"/>
          <w:szCs w:val="24"/>
          <w:lang w:val="en-US" w:eastAsia="zh-CN"/>
        </w:rPr>
        <w:t>采集范围包括但不限于细菌、病毒、真菌孢子、花粉、尘螨等生物气溶胶颗粒</w:t>
      </w:r>
      <w:r>
        <w:rPr>
          <w:rFonts w:hint="eastAsia" w:cs="Times New Roman"/>
          <w:szCs w:val="24"/>
          <w:lang w:val="en-US" w:eastAsia="zh-CN"/>
        </w:rPr>
        <w:t>，上述采集范围基本覆盖了生物气溶胶的主要生物性成分。</w:t>
      </w:r>
      <w:r>
        <w:rPr>
          <w:rFonts w:hint="eastAsia" w:cs="Times New Roman"/>
          <w:szCs w:val="24"/>
        </w:rPr>
        <w:t>采集介质明确为</w:t>
      </w:r>
      <w:r>
        <w:rPr>
          <w:rFonts w:hint="eastAsia" w:cs="Times New Roman"/>
          <w:szCs w:val="24"/>
          <w:lang w:eastAsia="zh-CN"/>
        </w:rPr>
        <w:t>“</w:t>
      </w:r>
      <w:r>
        <w:rPr>
          <w:rFonts w:hint="eastAsia" w:cs="Times New Roman"/>
          <w:szCs w:val="24"/>
        </w:rPr>
        <w:t>液体</w:t>
      </w:r>
      <w:r>
        <w:rPr>
          <w:rFonts w:hint="eastAsia" w:cs="Times New Roman"/>
          <w:szCs w:val="24"/>
          <w:lang w:eastAsia="zh-CN"/>
        </w:rPr>
        <w:t>”</w:t>
      </w:r>
      <w:r>
        <w:rPr>
          <w:rFonts w:hint="eastAsia" w:cs="Times New Roman"/>
          <w:szCs w:val="24"/>
        </w:rPr>
        <w:t>，是因为液体介质能更好地保护病毒等病原体的活性或核酸完整性，便于后续进行细胞培养、PCR、宏基因组等多种分析，用途更广。</w:t>
      </w:r>
    </w:p>
    <w:p w14:paraId="46719DC3">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（2）辅助传感单元</w:t>
      </w:r>
    </w:p>
    <w:p w14:paraId="483E95C0">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建议集成温度、相对湿度、二氧化碳（CO</w:t>
      </w:r>
      <w:r>
        <w:rPr>
          <w:rFonts w:hint="eastAsia" w:cs="Times New Roman"/>
          <w:szCs w:val="24"/>
          <w:vertAlign w:val="subscript"/>
          <w:lang w:val="en-US" w:eastAsia="zh-CN"/>
        </w:rPr>
        <w:t>2</w:t>
      </w:r>
      <w:r>
        <w:rPr>
          <w:rFonts w:hint="eastAsia" w:cs="Times New Roman"/>
          <w:szCs w:val="24"/>
          <w:lang w:val="en-US" w:eastAsia="zh-CN"/>
        </w:rPr>
        <w:t>）、颗粒物（PM</w:t>
      </w:r>
      <w:r>
        <w:rPr>
          <w:rFonts w:hint="eastAsia" w:cs="Times New Roman"/>
          <w:szCs w:val="24"/>
          <w:vertAlign w:val="subscript"/>
          <w:lang w:val="en-US" w:eastAsia="zh-CN"/>
        </w:rPr>
        <w:t>2.5</w:t>
      </w:r>
      <w:r>
        <w:rPr>
          <w:rFonts w:hint="eastAsia" w:cs="Times New Roman"/>
          <w:szCs w:val="24"/>
          <w:lang w:val="en-US" w:eastAsia="zh-CN"/>
        </w:rPr>
        <w:t>/PM</w:t>
      </w:r>
      <w:r>
        <w:rPr>
          <w:rFonts w:hint="eastAsia" w:cs="Times New Roman"/>
          <w:szCs w:val="24"/>
          <w:vertAlign w:val="subscript"/>
          <w:lang w:val="en-US" w:eastAsia="zh-CN"/>
        </w:rPr>
        <w:t>10</w:t>
      </w:r>
      <w:r>
        <w:rPr>
          <w:rFonts w:hint="eastAsia" w:cs="Times New Roman"/>
          <w:szCs w:val="24"/>
          <w:lang w:val="en-US" w:eastAsia="zh-CN"/>
        </w:rPr>
        <w:t>）等传感器，用于同步监测教学环境参数。设备应能实时显示并记录采样流量、运行时间、累计采样体积等关键参数。</w:t>
      </w:r>
    </w:p>
    <w:p w14:paraId="319CD081">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鼓励配置采集液余量自动感知与补给系统，实现自动控制补液功能。</w:t>
      </w:r>
    </w:p>
    <w:p w14:paraId="1F4B791D">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编制依据：</w:t>
      </w:r>
    </w:p>
    <w:p w14:paraId="60B7EDA8">
      <w:pPr>
        <w:adjustRightInd w:val="0"/>
        <w:snapToGrid w:val="0"/>
        <w:spacing w:line="240" w:lineRule="auto"/>
        <w:ind w:firstLine="480" w:firstLineChars="200"/>
        <w:rPr>
          <w:rFonts w:hint="eastAsia" w:cs="Times New Roman"/>
          <w:szCs w:val="24"/>
        </w:rPr>
      </w:pPr>
      <w:r>
        <w:rPr>
          <w:rFonts w:hint="eastAsia" w:cs="Times New Roman"/>
          <w:szCs w:val="24"/>
          <w:lang w:val="en-US" w:eastAsia="zh-CN"/>
        </w:rPr>
        <w:t>温度和相对湿度影响病原体存活和传播；CO</w:t>
      </w:r>
      <w:r>
        <w:rPr>
          <w:rFonts w:hint="eastAsia" w:cs="Times New Roman"/>
          <w:szCs w:val="24"/>
          <w:vertAlign w:val="subscript"/>
          <w:lang w:val="en-US" w:eastAsia="zh-CN"/>
        </w:rPr>
        <w:t>2</w:t>
      </w:r>
      <w:r>
        <w:rPr>
          <w:rFonts w:hint="eastAsia" w:cs="Times New Roman"/>
          <w:szCs w:val="24"/>
          <w:lang w:val="en-US" w:eastAsia="zh-CN"/>
        </w:rPr>
        <w:t>浓度是反映室内人员密度和通风换气效果的关键替代指标，世界卫生组织（WHO）及多个国家建筑通风标准均重视CO</w:t>
      </w:r>
      <w:r>
        <w:rPr>
          <w:rFonts w:hint="eastAsia" w:cs="Times New Roman"/>
          <w:szCs w:val="24"/>
          <w:vertAlign w:val="subscript"/>
          <w:lang w:val="en-US" w:eastAsia="zh-CN"/>
        </w:rPr>
        <w:t>2</w:t>
      </w:r>
      <w:r>
        <w:rPr>
          <w:rFonts w:hint="eastAsia" w:cs="Times New Roman"/>
          <w:szCs w:val="24"/>
          <w:lang w:val="en-US" w:eastAsia="zh-CN"/>
        </w:rPr>
        <w:t>的监测，各国学者也呼吁重视CO</w:t>
      </w:r>
      <w:r>
        <w:rPr>
          <w:rFonts w:hint="eastAsia" w:cs="Times New Roman"/>
          <w:szCs w:val="24"/>
          <w:vertAlign w:val="subscript"/>
          <w:lang w:val="en-US" w:eastAsia="zh-CN"/>
        </w:rPr>
        <w:t>2</w:t>
      </w:r>
      <w:r>
        <w:rPr>
          <w:rFonts w:hint="eastAsia" w:cs="Times New Roman"/>
          <w:szCs w:val="24"/>
          <w:lang w:val="en-US" w:eastAsia="zh-CN"/>
        </w:rPr>
        <w:t>这项指标</w:t>
      </w:r>
      <w:r>
        <w:rPr>
          <w:rStyle w:val="32"/>
          <w:rFonts w:hint="eastAsia" w:cs="Times New Roman"/>
          <w:szCs w:val="24"/>
          <w:lang w:val="en-US" w:eastAsia="zh-CN"/>
        </w:rPr>
        <w:t>[</w:t>
      </w:r>
      <w:r>
        <w:rPr>
          <w:rStyle w:val="32"/>
          <w:rFonts w:hint="eastAsia" w:cs="Times New Roman"/>
          <w:szCs w:val="24"/>
          <w:lang w:val="en-US" w:eastAsia="zh-CN"/>
        </w:rPr>
        <w:footnoteReference w:id="6"/>
      </w:r>
      <w:r>
        <w:rPr>
          <w:rStyle w:val="32"/>
          <w:rFonts w:hint="eastAsia" w:cs="Times New Roman"/>
          <w:szCs w:val="24"/>
          <w:lang w:val="en-US" w:eastAsia="zh-CN"/>
        </w:rPr>
        <w:t>]</w:t>
      </w:r>
      <w:r>
        <w:rPr>
          <w:rFonts w:hint="eastAsia" w:cs="Times New Roman"/>
          <w:szCs w:val="24"/>
          <w:lang w:val="en-US" w:eastAsia="zh-CN"/>
        </w:rPr>
        <w:t>；PM</w:t>
      </w:r>
      <w:r>
        <w:rPr>
          <w:rFonts w:hint="eastAsia" w:cs="Times New Roman"/>
          <w:szCs w:val="24"/>
          <w:vertAlign w:val="subscript"/>
          <w:lang w:val="en-US" w:eastAsia="zh-CN"/>
        </w:rPr>
        <w:t>2.5</w:t>
      </w:r>
      <w:r>
        <w:rPr>
          <w:rFonts w:hint="eastAsia" w:cs="Times New Roman"/>
          <w:szCs w:val="24"/>
          <w:lang w:val="en-US" w:eastAsia="zh-CN"/>
        </w:rPr>
        <w:t>浓度与总体空气质量相关。</w:t>
      </w:r>
      <w:r>
        <w:rPr>
          <w:rFonts w:hint="eastAsia" w:cs="Times New Roman"/>
          <w:szCs w:val="24"/>
        </w:rPr>
        <w:t>这些参数是评价教室室内环境质量的重要指标。</w:t>
      </w:r>
    </w:p>
    <w:p w14:paraId="1F08B1C8">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由于气旋式采样器流量较大，采集液在工作工程中会有蒸发损失。自动控制补液功能可以确保长时间或</w:t>
      </w:r>
      <w:r>
        <w:rPr>
          <w:rFonts w:hint="eastAsia" w:cs="Times New Roman"/>
          <w:szCs w:val="24"/>
        </w:rPr>
        <w:t>无人值守采样时，采样效率</w:t>
      </w:r>
      <w:r>
        <w:rPr>
          <w:rFonts w:hint="eastAsia" w:cs="Times New Roman"/>
          <w:szCs w:val="24"/>
          <w:lang w:val="en-US" w:eastAsia="zh-CN"/>
        </w:rPr>
        <w:t>不受采集</w:t>
      </w:r>
      <w:r>
        <w:rPr>
          <w:rFonts w:hint="eastAsia" w:cs="Times New Roman"/>
          <w:szCs w:val="24"/>
        </w:rPr>
        <w:t>液蒸发</w:t>
      </w:r>
      <w:r>
        <w:rPr>
          <w:rFonts w:hint="eastAsia" w:cs="Times New Roman"/>
          <w:szCs w:val="24"/>
          <w:lang w:val="en-US" w:eastAsia="zh-CN"/>
        </w:rPr>
        <w:t>的</w:t>
      </w:r>
      <w:r>
        <w:rPr>
          <w:rFonts w:hint="eastAsia" w:cs="Times New Roman"/>
          <w:szCs w:val="24"/>
        </w:rPr>
        <w:t>影响，是</w:t>
      </w:r>
      <w:r>
        <w:rPr>
          <w:rFonts w:hint="eastAsia" w:cs="Times New Roman"/>
          <w:szCs w:val="24"/>
          <w:lang w:val="en-US" w:eastAsia="zh-CN"/>
        </w:rPr>
        <w:t>设备</w:t>
      </w:r>
      <w:r>
        <w:rPr>
          <w:rFonts w:hint="eastAsia" w:cs="Times New Roman"/>
          <w:szCs w:val="24"/>
        </w:rPr>
        <w:t>智能化</w:t>
      </w:r>
      <w:r>
        <w:rPr>
          <w:rFonts w:hint="eastAsia" w:cs="Times New Roman"/>
          <w:szCs w:val="24"/>
          <w:lang w:val="en-US" w:eastAsia="zh-CN"/>
        </w:rPr>
        <w:t>采样</w:t>
      </w:r>
      <w:r>
        <w:rPr>
          <w:rFonts w:hint="eastAsia" w:cs="Times New Roman"/>
          <w:szCs w:val="24"/>
        </w:rPr>
        <w:t>的体现</w:t>
      </w:r>
      <w:r>
        <w:rPr>
          <w:rFonts w:hint="eastAsia" w:cs="Times New Roman"/>
          <w:szCs w:val="24"/>
          <w:lang w:eastAsia="zh-CN"/>
        </w:rPr>
        <w:t>。</w:t>
      </w:r>
    </w:p>
    <w:p w14:paraId="2771F0D8">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（3）数据管理与传输单元</w:t>
      </w:r>
    </w:p>
    <w:p w14:paraId="529855E2">
      <w:pPr>
        <w:adjustRightInd w:val="0"/>
        <w:snapToGrid w:val="0"/>
        <w:spacing w:line="240" w:lineRule="auto"/>
        <w:ind w:firstLine="480" w:firstLineChars="200"/>
        <w:rPr>
          <w:rFonts w:hint="default" w:cs="Times New Roman"/>
          <w:szCs w:val="24"/>
          <w:lang w:val="en-US" w:eastAsia="zh-CN"/>
        </w:rPr>
      </w:pPr>
      <w:r>
        <w:rPr>
          <w:rFonts w:hint="default" w:cs="Times New Roman"/>
          <w:szCs w:val="24"/>
          <w:lang w:val="en-US" w:eastAsia="zh-CN"/>
        </w:rPr>
        <w:t>应具备嵌入式操作系统，支持无线网络（如4G/5G/WIFI）数据传输，可将采样数据、环境参数及地理位置信息实时上传至指定监测平台，支持</w:t>
      </w:r>
      <w:r>
        <w:rPr>
          <w:rFonts w:hint="eastAsia"/>
          <w:lang w:val="en-US" w:eastAsia="zh-CN"/>
        </w:rPr>
        <w:t>音视频自动采集、</w:t>
      </w:r>
      <w:r>
        <w:rPr>
          <w:rFonts w:hint="default" w:cs="Times New Roman"/>
          <w:szCs w:val="24"/>
          <w:lang w:val="en-US" w:eastAsia="zh-CN"/>
        </w:rPr>
        <w:t>远程监控、任务设置与数据管理等智能化功能。</w:t>
      </w:r>
    </w:p>
    <w:p w14:paraId="51D6DFB1">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编制依据：</w:t>
      </w:r>
    </w:p>
    <w:p w14:paraId="6F5CEE65">
      <w:pPr>
        <w:adjustRightInd w:val="0"/>
        <w:snapToGrid w:val="0"/>
        <w:spacing w:line="240" w:lineRule="auto"/>
        <w:ind w:firstLine="480" w:firstLineChars="200"/>
        <w:rPr>
          <w:rFonts w:hint="default" w:cs="Times New Roman"/>
          <w:szCs w:val="24"/>
          <w:lang w:val="en-US" w:eastAsia="zh-CN"/>
        </w:rPr>
      </w:pPr>
      <w:r>
        <w:rPr>
          <w:rFonts w:hint="default" w:cs="Times New Roman"/>
          <w:szCs w:val="24"/>
          <w:lang w:val="en-US" w:eastAsia="zh-CN"/>
        </w:rPr>
        <w:t>规定</w:t>
      </w:r>
      <w:r>
        <w:rPr>
          <w:rFonts w:hint="eastAsia" w:cs="Times New Roman"/>
          <w:szCs w:val="24"/>
          <w:lang w:val="en-US" w:eastAsia="zh-CN"/>
        </w:rPr>
        <w:t>数据</w:t>
      </w:r>
      <w:r>
        <w:rPr>
          <w:rFonts w:hint="default" w:cs="Times New Roman"/>
          <w:szCs w:val="24"/>
          <w:lang w:val="en-US" w:eastAsia="zh-CN"/>
        </w:rPr>
        <w:t>无线传输</w:t>
      </w:r>
      <w:r>
        <w:rPr>
          <w:rFonts w:hint="eastAsia" w:cs="Times New Roman"/>
          <w:szCs w:val="24"/>
          <w:lang w:val="en-US" w:eastAsia="zh-CN"/>
        </w:rPr>
        <w:t>、设备</w:t>
      </w:r>
      <w:r>
        <w:rPr>
          <w:rFonts w:hint="default" w:cs="Times New Roman"/>
          <w:szCs w:val="24"/>
          <w:lang w:val="en-US" w:eastAsia="zh-CN"/>
        </w:rPr>
        <w:t>远程管理</w:t>
      </w:r>
      <w:r>
        <w:rPr>
          <w:rFonts w:hint="eastAsia" w:cs="Times New Roman"/>
          <w:szCs w:val="24"/>
          <w:lang w:val="en-US" w:eastAsia="zh-CN"/>
        </w:rPr>
        <w:t>、任务设置等</w:t>
      </w:r>
      <w:r>
        <w:rPr>
          <w:rFonts w:hint="default" w:cs="Times New Roman"/>
          <w:szCs w:val="24"/>
          <w:lang w:val="en-US" w:eastAsia="zh-CN"/>
        </w:rPr>
        <w:t>功能，是</w:t>
      </w:r>
      <w:r>
        <w:rPr>
          <w:rFonts w:hint="eastAsia" w:cs="Times New Roman"/>
          <w:szCs w:val="24"/>
          <w:lang w:val="en-US" w:eastAsia="zh-CN"/>
        </w:rPr>
        <w:t>实现采样过程的实时化、网络化和智能化的核心。这些技术</w:t>
      </w:r>
      <w:r>
        <w:rPr>
          <w:rFonts w:hint="default" w:cs="Times New Roman"/>
          <w:szCs w:val="24"/>
          <w:lang w:val="en-US" w:eastAsia="zh-CN"/>
        </w:rPr>
        <w:t>改变了传统采样数据记录滞后、易出错的弊端，符合现代环境监测信息化的发展方向，是</w:t>
      </w:r>
      <w:r>
        <w:rPr>
          <w:rFonts w:hint="eastAsia" w:cs="Times New Roman"/>
          <w:szCs w:val="24"/>
          <w:lang w:val="en-US" w:eastAsia="zh-CN"/>
        </w:rPr>
        <w:t>智能化</w:t>
      </w:r>
      <w:r>
        <w:rPr>
          <w:rFonts w:hint="default" w:cs="Times New Roman"/>
          <w:szCs w:val="24"/>
          <w:lang w:val="en-US" w:eastAsia="zh-CN"/>
        </w:rPr>
        <w:t>的直接体现。</w:t>
      </w:r>
      <w:r>
        <w:rPr>
          <w:rFonts w:hint="eastAsia"/>
          <w:lang w:val="en-US" w:eastAsia="zh-CN"/>
        </w:rPr>
        <w:t>音视频自动采集模块可以真实记录采样现场、采样人员和采样环境信息。</w:t>
      </w:r>
    </w:p>
    <w:p w14:paraId="359F1908">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（4）采样耗材</w:t>
      </w:r>
    </w:p>
    <w:p w14:paraId="7F1FFB6A">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包括一次性无菌采样瓶、专用采集液（应符合相关病毒或微生物保存要求）、可替换旋风筒等。</w:t>
      </w:r>
    </w:p>
    <w:p w14:paraId="75B8331C">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编制依据：</w:t>
      </w:r>
    </w:p>
    <w:p w14:paraId="18875E09">
      <w:pPr>
        <w:adjustRightInd w:val="0"/>
        <w:snapToGrid w:val="0"/>
        <w:spacing w:line="240" w:lineRule="auto"/>
        <w:ind w:firstLine="480" w:firstLineChars="200"/>
        <w:rPr>
          <w:rFonts w:hint="default" w:cs="Times New Roman"/>
          <w:szCs w:val="24"/>
          <w:lang w:val="en-US" w:eastAsia="zh-CN"/>
        </w:rPr>
      </w:pPr>
      <w:r>
        <w:rPr>
          <w:rFonts w:hint="default" w:cs="Times New Roman"/>
          <w:szCs w:val="24"/>
          <w:lang w:val="en-US" w:eastAsia="zh-CN"/>
        </w:rPr>
        <w:t>本条</w:t>
      </w:r>
      <w:r>
        <w:rPr>
          <w:rFonts w:hint="eastAsia" w:cs="Times New Roman"/>
          <w:szCs w:val="24"/>
          <w:lang w:val="en-US" w:eastAsia="zh-CN"/>
        </w:rPr>
        <w:t>文</w:t>
      </w:r>
      <w:r>
        <w:rPr>
          <w:rFonts w:hint="default" w:cs="Times New Roman"/>
          <w:szCs w:val="24"/>
          <w:lang w:val="en-US" w:eastAsia="zh-CN"/>
        </w:rPr>
        <w:t>对采样耗材的规定，旨在确保样本的无菌性、有效性及生物安全。</w:t>
      </w:r>
      <w:r>
        <w:rPr>
          <w:rFonts w:hint="eastAsia" w:cs="Times New Roman"/>
          <w:szCs w:val="24"/>
          <w:lang w:val="en-US" w:eastAsia="zh-CN"/>
        </w:rPr>
        <w:t>本条文</w:t>
      </w:r>
      <w:r>
        <w:rPr>
          <w:rFonts w:hint="default" w:cs="Times New Roman"/>
          <w:szCs w:val="24"/>
          <w:lang w:val="en-US" w:eastAsia="zh-CN"/>
        </w:rPr>
        <w:t>遵循微生物检测基本原则，满足GB 19489的生物安全管理要求，杜绝交叉污染。</w:t>
      </w:r>
      <w:r>
        <w:rPr>
          <w:rFonts w:hint="eastAsia" w:cs="Times New Roman"/>
          <w:szCs w:val="24"/>
          <w:lang w:val="en-US" w:eastAsia="zh-CN"/>
        </w:rPr>
        <w:t>液体气旋式采样器主要以专用采集液为采集介质，专</w:t>
      </w:r>
      <w:r>
        <w:rPr>
          <w:rFonts w:hint="default" w:cs="Times New Roman"/>
          <w:szCs w:val="24"/>
          <w:lang w:val="en-US" w:eastAsia="zh-CN"/>
        </w:rPr>
        <w:t>用</w:t>
      </w:r>
      <w:r>
        <w:rPr>
          <w:rFonts w:hint="eastAsia" w:cs="Times New Roman"/>
          <w:szCs w:val="24"/>
          <w:lang w:val="en-US" w:eastAsia="zh-CN"/>
        </w:rPr>
        <w:t>采集</w:t>
      </w:r>
      <w:r>
        <w:rPr>
          <w:rFonts w:hint="default" w:cs="Times New Roman"/>
          <w:szCs w:val="24"/>
          <w:lang w:val="en-US" w:eastAsia="zh-CN"/>
        </w:rPr>
        <w:t>体的</w:t>
      </w:r>
      <w:r>
        <w:rPr>
          <w:rFonts w:hint="eastAsia" w:cs="Times New Roman"/>
          <w:szCs w:val="24"/>
          <w:lang w:val="en-US" w:eastAsia="zh-CN"/>
        </w:rPr>
        <w:t>“</w:t>
      </w:r>
      <w:r>
        <w:rPr>
          <w:rFonts w:hint="default" w:cs="Times New Roman"/>
          <w:szCs w:val="24"/>
          <w:lang w:val="en-US" w:eastAsia="zh-CN"/>
        </w:rPr>
        <w:t>保存要求</w:t>
      </w:r>
      <w:r>
        <w:rPr>
          <w:rFonts w:hint="eastAsia" w:cs="Times New Roman"/>
          <w:szCs w:val="24"/>
          <w:lang w:val="en-US" w:eastAsia="zh-CN"/>
        </w:rPr>
        <w:t>”可保障</w:t>
      </w:r>
      <w:r>
        <w:rPr>
          <w:rFonts w:hint="default" w:cs="Times New Roman"/>
          <w:szCs w:val="24"/>
          <w:lang w:val="en-US" w:eastAsia="zh-CN"/>
        </w:rPr>
        <w:t>维持病原体核酸或活性稳定，是保证后续PCR、培养等检测结果准确的前提。</w:t>
      </w:r>
      <w:r>
        <w:rPr>
          <w:rFonts w:hint="eastAsia" w:cs="Times New Roman"/>
          <w:szCs w:val="24"/>
          <w:lang w:val="en-US" w:eastAsia="zh-CN"/>
        </w:rPr>
        <w:t>旋风筒在使用过程中也会受到潜在病原体的污染，因此要求旋风筒可替换、可消毒。</w:t>
      </w:r>
    </w:p>
    <w:p w14:paraId="5899C93D">
      <w:pPr>
        <w:pStyle w:val="4"/>
        <w:bidi w:val="0"/>
        <w:rPr>
          <w:rFonts w:hint="default" w:cs="Times New Roman"/>
          <w:lang w:val="en-US" w:eastAsia="zh-CN"/>
        </w:rPr>
      </w:pPr>
      <w:bookmarkStart w:id="152" w:name="_Toc7518"/>
      <w:bookmarkStart w:id="153" w:name="_Toc26628"/>
      <w:bookmarkStart w:id="154" w:name="_Toc23261"/>
      <w:r>
        <w:rPr>
          <w:rFonts w:hint="default" w:cs="Times New Roman"/>
          <w:lang w:val="en-US" w:eastAsia="zh-CN"/>
        </w:rPr>
        <w:t>5.采样前的准备</w:t>
      </w:r>
      <w:bookmarkEnd w:id="152"/>
      <w:bookmarkEnd w:id="153"/>
      <w:bookmarkEnd w:id="154"/>
    </w:p>
    <w:p w14:paraId="5A76FBD5">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（1）现场调查与方案制定</w:t>
      </w:r>
    </w:p>
    <w:p w14:paraId="072E1790">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应调查教室的面积、楼层、几何尺寸、日常通风系统（如自然通风、分体空调）、课程表、人员高峰期及近期因病缺勤情况等。根据调查结果制定采样计划，明确采样点位、时间、频次与样品数量等。</w:t>
      </w:r>
    </w:p>
    <w:p w14:paraId="4442EA40">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采样时间宜在课间或大课间时段进行，并应在学生离开教室后5~10min之内完成。</w:t>
      </w:r>
    </w:p>
    <w:p w14:paraId="0EF06722">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编制依据：</w:t>
      </w:r>
    </w:p>
    <w:p w14:paraId="0688C488">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本文件要求调查教室面积、通风、课程表、因病缺勤情况等，是基于流行病学“三同”原则（同源、同传播途径、同时空暴露）中的“同时空”调查。只有充分了解环境本底和人员活动规律，才能制定出有代表性的采样计划。</w:t>
      </w:r>
    </w:p>
    <w:p w14:paraId="5625AF6C">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本文件规定“宜在课间或大课间，学生离开教室后5~10min之内完成”。课间时段，室内空气经过一节课的人员活动，病原体浓度可能达到一个有代表性的峰值水平；学生离开后采样，避免了人员走动对气流的剧烈干扰，并能保护采样代表性。这个时间窗口是平衡暴露代表性和采样可行性的最佳选择。</w:t>
      </w:r>
    </w:p>
    <w:p w14:paraId="4B831183">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（2）仪器设备准备与校准</w:t>
      </w:r>
    </w:p>
    <w:p w14:paraId="1FBE6E60">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依据现场调查方案准备相应数量的采样器。</w:t>
      </w:r>
    </w:p>
    <w:p w14:paraId="52BED24C">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每次采样前或按计划，应依据JJF 1826或使用经校准的流量计对采样器流量进行校准，其示值误差不应超过±5%。</w:t>
      </w:r>
    </w:p>
    <w:p w14:paraId="55DD5E28">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辅助传感器应按其说明书要求进行校准或验证。</w:t>
      </w:r>
    </w:p>
    <w:p w14:paraId="12834C1C">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采样耗材（如采集液、采样瓶）应在无菌条件下准备，采集液经121℃高压蒸汽灭菌15min或使用市售无菌产品。</w:t>
      </w:r>
    </w:p>
    <w:p w14:paraId="17BBF7A9">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编制依据：</w:t>
      </w:r>
    </w:p>
    <w:p w14:paraId="32AAB219">
      <w:pPr>
        <w:adjustRightInd w:val="0"/>
        <w:snapToGrid w:val="0"/>
        <w:spacing w:line="240" w:lineRule="auto"/>
        <w:ind w:firstLine="480" w:firstLineChars="200"/>
        <w:rPr>
          <w:rFonts w:hint="default" w:cs="Times New Roman"/>
          <w:szCs w:val="24"/>
          <w:lang w:val="en-US" w:eastAsia="zh-CN"/>
        </w:rPr>
      </w:pPr>
      <w:r>
        <w:rPr>
          <w:rFonts w:hint="default" w:cs="Times New Roman"/>
          <w:szCs w:val="24"/>
          <w:lang w:val="en-US" w:eastAsia="zh-CN"/>
        </w:rPr>
        <w:t>该要求直接引用JJF 1826-2020《空气微生物采样器校准规范》中对采样流量示值误差的通用要求，是保证采样体积准确、数据可比性的计量学基础。</w:t>
      </w:r>
    </w:p>
    <w:p w14:paraId="5110DC70">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为保证现场样品后续用于培养法鉴定，要求采样耗材采用无菌操作，并参考</w:t>
      </w:r>
      <w:r>
        <w:rPr>
          <w:rFonts w:hint="default" w:cs="Times New Roman"/>
          <w:szCs w:val="24"/>
          <w:lang w:val="en-US" w:eastAsia="zh-CN"/>
        </w:rPr>
        <w:t xml:space="preserve">GB/T 18204.3 </w:t>
      </w:r>
      <w:r>
        <w:rPr>
          <w:rFonts w:hint="eastAsia" w:cs="Times New Roman"/>
          <w:szCs w:val="24"/>
          <w:lang w:val="en-US" w:eastAsia="zh-CN"/>
        </w:rPr>
        <w:t>《</w:t>
      </w:r>
      <w:r>
        <w:rPr>
          <w:rFonts w:hint="default" w:cs="Times New Roman"/>
          <w:szCs w:val="24"/>
          <w:lang w:val="en-US" w:eastAsia="zh-CN"/>
        </w:rPr>
        <w:t>公共场所卫生检验方法 第3部分：空气微生物</w:t>
      </w:r>
      <w:r>
        <w:rPr>
          <w:rFonts w:hint="eastAsia" w:cs="Times New Roman"/>
          <w:szCs w:val="24"/>
          <w:lang w:val="en-US" w:eastAsia="zh-CN"/>
        </w:rPr>
        <w:t>》给出了建议的灭菌条件。</w:t>
      </w:r>
    </w:p>
    <w:p w14:paraId="610AED10">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（3）</w:t>
      </w:r>
      <w:r>
        <w:rPr>
          <w:rFonts w:hint="default" w:cs="Times New Roman"/>
          <w:szCs w:val="24"/>
          <w:lang w:val="en-US" w:eastAsia="zh-CN"/>
        </w:rPr>
        <w:t>人员培训与防护</w:t>
      </w:r>
    </w:p>
    <w:p w14:paraId="16240909">
      <w:pPr>
        <w:adjustRightInd w:val="0"/>
        <w:snapToGrid w:val="0"/>
        <w:spacing w:line="240" w:lineRule="auto"/>
        <w:ind w:firstLine="480" w:firstLineChars="200"/>
        <w:rPr>
          <w:rFonts w:hint="default" w:cs="Times New Roman"/>
          <w:szCs w:val="24"/>
          <w:lang w:val="en-US" w:eastAsia="zh-CN"/>
        </w:rPr>
      </w:pPr>
      <w:r>
        <w:rPr>
          <w:rFonts w:hint="default" w:cs="Times New Roman"/>
          <w:szCs w:val="24"/>
          <w:lang w:val="en-US" w:eastAsia="zh-CN"/>
        </w:rPr>
        <w:t>采样人员应接受生物安全及设备操作培训。现场操作时的个人防护及废弃物处置应符合GB 19489的要求。</w:t>
      </w:r>
    </w:p>
    <w:p w14:paraId="64F2EA86">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编制依据：</w:t>
      </w:r>
    </w:p>
    <w:p w14:paraId="145690BB">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本要求是对现场采样人员培训和防护的要求，个人防护及废弃物处理要求符合</w:t>
      </w:r>
      <w:r>
        <w:rPr>
          <w:rFonts w:hint="default" w:cs="Times New Roman"/>
          <w:szCs w:val="24"/>
          <w:lang w:val="en-US" w:eastAsia="zh-CN"/>
        </w:rPr>
        <w:t>GB 19489</w:t>
      </w:r>
      <w:r>
        <w:rPr>
          <w:rFonts w:hint="eastAsia" w:cs="Times New Roman"/>
          <w:szCs w:val="24"/>
          <w:lang w:val="en-US" w:eastAsia="zh-CN"/>
        </w:rPr>
        <w:t>要求。GB 19489是</w:t>
      </w:r>
      <w:r>
        <w:rPr>
          <w:rFonts w:hint="default" w:cs="Times New Roman"/>
          <w:szCs w:val="24"/>
          <w:lang w:val="en-US" w:eastAsia="zh-CN"/>
        </w:rPr>
        <w:t>处理潜在病原体样本时必须遵守的</w:t>
      </w:r>
      <w:r>
        <w:rPr>
          <w:rFonts w:hint="eastAsia" w:cs="Times New Roman"/>
          <w:szCs w:val="24"/>
          <w:lang w:val="en-US" w:eastAsia="zh-CN"/>
        </w:rPr>
        <w:t>强制</w:t>
      </w:r>
      <w:r>
        <w:rPr>
          <w:rFonts w:hint="default" w:cs="Times New Roman"/>
          <w:szCs w:val="24"/>
          <w:lang w:val="en-US" w:eastAsia="zh-CN"/>
        </w:rPr>
        <w:t>安全规范</w:t>
      </w:r>
      <w:r>
        <w:rPr>
          <w:rFonts w:hint="eastAsia" w:cs="Times New Roman"/>
          <w:szCs w:val="24"/>
          <w:lang w:val="en-US" w:eastAsia="zh-CN"/>
        </w:rPr>
        <w:t>，</w:t>
      </w:r>
      <w:r>
        <w:rPr>
          <w:rFonts w:hint="default" w:cs="Times New Roman"/>
          <w:szCs w:val="24"/>
          <w:lang w:val="en-US" w:eastAsia="zh-CN"/>
        </w:rPr>
        <w:t>GB 19489规定了不同风险等级微生物操作的生物安全要求，</w:t>
      </w:r>
      <w:r>
        <w:rPr>
          <w:rFonts w:hint="eastAsia" w:cs="Times New Roman"/>
          <w:szCs w:val="24"/>
          <w:lang w:val="en-US" w:eastAsia="zh-CN"/>
        </w:rPr>
        <w:t>本标准只引用个人防护和废弃物处置的要求</w:t>
      </w:r>
      <w:r>
        <w:rPr>
          <w:rFonts w:hint="default" w:cs="Times New Roman"/>
          <w:szCs w:val="24"/>
          <w:lang w:val="en-US" w:eastAsia="zh-CN"/>
        </w:rPr>
        <w:t>，以确保</w:t>
      </w:r>
      <w:r>
        <w:rPr>
          <w:rFonts w:hint="eastAsia" w:cs="Times New Roman"/>
          <w:szCs w:val="24"/>
          <w:lang w:val="en-US" w:eastAsia="zh-CN"/>
        </w:rPr>
        <w:t>采样</w:t>
      </w:r>
      <w:r>
        <w:rPr>
          <w:rFonts w:hint="default" w:cs="Times New Roman"/>
          <w:szCs w:val="24"/>
          <w:lang w:val="en-US" w:eastAsia="zh-CN"/>
        </w:rPr>
        <w:t>人员及公众</w:t>
      </w:r>
      <w:r>
        <w:rPr>
          <w:rFonts w:hint="eastAsia" w:cs="Times New Roman"/>
          <w:szCs w:val="24"/>
          <w:lang w:val="en-US" w:eastAsia="zh-CN"/>
        </w:rPr>
        <w:t>环境</w:t>
      </w:r>
      <w:r>
        <w:rPr>
          <w:rFonts w:hint="default" w:cs="Times New Roman"/>
          <w:szCs w:val="24"/>
          <w:lang w:val="en-US" w:eastAsia="zh-CN"/>
        </w:rPr>
        <w:t>安全。</w:t>
      </w:r>
    </w:p>
    <w:p w14:paraId="53B3AB42">
      <w:pPr>
        <w:pStyle w:val="4"/>
        <w:bidi w:val="0"/>
        <w:rPr>
          <w:rFonts w:hint="default" w:cs="Times New Roman"/>
          <w:lang w:val="en-US" w:eastAsia="zh-CN"/>
        </w:rPr>
      </w:pPr>
      <w:bookmarkStart w:id="155" w:name="_Toc27858"/>
      <w:bookmarkStart w:id="156" w:name="_Toc19529"/>
      <w:bookmarkStart w:id="157" w:name="_Toc28521"/>
      <w:r>
        <w:rPr>
          <w:rFonts w:hint="default" w:cs="Times New Roman"/>
          <w:lang w:val="en-US" w:eastAsia="zh-CN"/>
        </w:rPr>
        <w:t>6.采样点布设</w:t>
      </w:r>
      <w:bookmarkEnd w:id="155"/>
      <w:bookmarkEnd w:id="156"/>
      <w:bookmarkEnd w:id="157"/>
    </w:p>
    <w:p w14:paraId="2AD55856">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（1）布点原则</w:t>
      </w:r>
    </w:p>
    <w:p w14:paraId="55283575">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采样点应均匀分布并有代表性，可采用对角线、梅花状或网格法布点。测点应远离门窗、通风口等气流干扰位置，距离墙壁不小于0.5m。</w:t>
      </w:r>
    </w:p>
    <w:p w14:paraId="40CF70D8">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编制依据：</w:t>
      </w:r>
    </w:p>
    <w:p w14:paraId="2CED9EEC">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采用对角线、梅花状、网格法等，是GB/T 18204.3中推荐的、确保空间代表性的方法。“距离墙壁不小于0.5m”是为了避开墙面边界层气流的影响，这也是室内空气监测的通用要求。</w:t>
      </w:r>
    </w:p>
    <w:p w14:paraId="2EA70F85">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（2）布点数量</w:t>
      </w:r>
    </w:p>
    <w:p w14:paraId="4F8E64B4">
      <w:pPr>
        <w:adjustRightInd w:val="0"/>
        <w:snapToGrid w:val="0"/>
        <w:spacing w:line="240" w:lineRule="auto"/>
        <w:ind w:firstLine="480" w:firstLineChars="200"/>
        <w:rPr>
          <w:rFonts w:hint="default" w:ascii="Times New Roman" w:hAnsi="Times New Roman" w:cs="Times New Roman"/>
          <w:szCs w:val="24"/>
          <w:lang w:val="en-US" w:eastAsia="zh-CN"/>
        </w:rPr>
      </w:pPr>
      <w:r>
        <w:rPr>
          <w:rFonts w:hint="default" w:ascii="Times New Roman" w:hAnsi="Times New Roman" w:cs="Times New Roman"/>
          <w:szCs w:val="24"/>
        </w:rPr>
        <w:t>教室</w:t>
      </w:r>
      <w:r>
        <w:rPr>
          <w:rFonts w:hint="default" w:ascii="Times New Roman" w:hAnsi="Times New Roman" w:cs="Times New Roman"/>
          <w:szCs w:val="24"/>
          <w:lang w:val="en-US" w:eastAsia="zh-CN"/>
        </w:rPr>
        <w:t>使用</w:t>
      </w:r>
      <w:r>
        <w:rPr>
          <w:rFonts w:hint="default" w:ascii="Times New Roman" w:hAnsi="Times New Roman" w:cs="Times New Roman"/>
          <w:szCs w:val="24"/>
        </w:rPr>
        <w:t>面积小于50 m</w:t>
      </w:r>
      <w:r>
        <w:rPr>
          <w:rFonts w:hint="default" w:ascii="Times New Roman" w:hAnsi="Times New Roman" w:cs="Times New Roman"/>
          <w:szCs w:val="24"/>
          <w:vertAlign w:val="superscript"/>
          <w:lang w:val="en-US" w:eastAsia="zh-CN"/>
        </w:rPr>
        <w:t>2</w:t>
      </w:r>
      <w:r>
        <w:rPr>
          <w:rFonts w:hint="default" w:ascii="Times New Roman" w:hAnsi="Times New Roman" w:cs="Times New Roman"/>
          <w:szCs w:val="24"/>
        </w:rPr>
        <w:t>时，设置1个采样点</w:t>
      </w:r>
      <w:r>
        <w:rPr>
          <w:rFonts w:hint="default" w:ascii="Times New Roman" w:hAnsi="Times New Roman" w:cs="Times New Roman"/>
          <w:szCs w:val="24"/>
          <w:lang w:eastAsia="zh-CN"/>
        </w:rPr>
        <w:t>；</w:t>
      </w:r>
      <w:r>
        <w:rPr>
          <w:rFonts w:hint="default" w:ascii="Times New Roman" w:hAnsi="Times New Roman" w:cs="Times New Roman"/>
          <w:szCs w:val="24"/>
        </w:rPr>
        <w:t>教室</w:t>
      </w:r>
      <w:r>
        <w:rPr>
          <w:rFonts w:hint="default" w:ascii="Times New Roman" w:hAnsi="Times New Roman" w:cs="Times New Roman"/>
          <w:szCs w:val="24"/>
          <w:lang w:val="en-US" w:eastAsia="zh-CN"/>
        </w:rPr>
        <w:t>使用</w:t>
      </w:r>
      <w:r>
        <w:rPr>
          <w:rFonts w:hint="default" w:ascii="Times New Roman" w:hAnsi="Times New Roman" w:cs="Times New Roman"/>
          <w:szCs w:val="24"/>
        </w:rPr>
        <w:t>面积在50</w:t>
      </w:r>
      <w:r>
        <w:rPr>
          <w:rFonts w:hint="default" w:ascii="Times New Roman" w:hAnsi="Times New Roman" w:cs="Times New Roman"/>
          <w:szCs w:val="24"/>
          <w:lang w:val="en-US" w:eastAsia="zh-CN"/>
        </w:rPr>
        <w:t>~</w:t>
      </w:r>
      <w:r>
        <w:rPr>
          <w:rFonts w:hint="default" w:ascii="Times New Roman" w:hAnsi="Times New Roman" w:cs="Times New Roman"/>
          <w:szCs w:val="24"/>
        </w:rPr>
        <w:t>100 m</w:t>
      </w:r>
      <w:r>
        <w:rPr>
          <w:rFonts w:hint="default" w:ascii="Times New Roman" w:hAnsi="Times New Roman" w:cs="Times New Roman"/>
          <w:szCs w:val="24"/>
          <w:vertAlign w:val="superscript"/>
          <w:lang w:val="en-US" w:eastAsia="zh-CN"/>
        </w:rPr>
        <w:t>2</w:t>
      </w:r>
      <w:r>
        <w:rPr>
          <w:rFonts w:hint="default" w:ascii="Times New Roman" w:hAnsi="Times New Roman" w:cs="Times New Roman"/>
          <w:szCs w:val="24"/>
        </w:rPr>
        <w:t>时，设置2个采样点</w:t>
      </w:r>
      <w:r>
        <w:rPr>
          <w:rFonts w:hint="default" w:ascii="Times New Roman" w:hAnsi="Times New Roman" w:cs="Times New Roman"/>
          <w:szCs w:val="24"/>
          <w:lang w:eastAsia="zh-CN"/>
        </w:rPr>
        <w:t>；</w:t>
      </w:r>
      <w:r>
        <w:rPr>
          <w:rFonts w:hint="default" w:ascii="Times New Roman" w:hAnsi="Times New Roman" w:cs="Times New Roman"/>
          <w:szCs w:val="24"/>
        </w:rPr>
        <w:t>教室</w:t>
      </w:r>
      <w:r>
        <w:rPr>
          <w:rFonts w:hint="default" w:ascii="Times New Roman" w:hAnsi="Times New Roman" w:cs="Times New Roman"/>
          <w:szCs w:val="24"/>
          <w:lang w:val="en-US" w:eastAsia="zh-CN"/>
        </w:rPr>
        <w:t>使用</w:t>
      </w:r>
      <w:r>
        <w:rPr>
          <w:rFonts w:hint="default" w:ascii="Times New Roman" w:hAnsi="Times New Roman" w:cs="Times New Roman"/>
          <w:szCs w:val="24"/>
        </w:rPr>
        <w:t>面积大于100 m</w:t>
      </w:r>
      <w:r>
        <w:rPr>
          <w:rFonts w:hint="default" w:ascii="Times New Roman" w:hAnsi="Times New Roman" w:cs="Times New Roman"/>
          <w:szCs w:val="24"/>
          <w:vertAlign w:val="superscript"/>
          <w:lang w:val="en-US" w:eastAsia="zh-CN"/>
        </w:rPr>
        <w:t>2</w:t>
      </w:r>
      <w:r>
        <w:rPr>
          <w:rFonts w:hint="default" w:ascii="Times New Roman" w:hAnsi="Times New Roman" w:cs="Times New Roman"/>
          <w:szCs w:val="24"/>
        </w:rPr>
        <w:t>时，设置3</w:t>
      </w:r>
      <w:r>
        <w:rPr>
          <w:rFonts w:hint="default" w:ascii="Times New Roman" w:hAnsi="Times New Roman" w:cs="Times New Roman"/>
          <w:szCs w:val="24"/>
          <w:lang w:val="en-US" w:eastAsia="zh-CN"/>
        </w:rPr>
        <w:t>~</w:t>
      </w:r>
      <w:r>
        <w:rPr>
          <w:rFonts w:hint="default" w:ascii="Times New Roman" w:hAnsi="Times New Roman" w:cs="Times New Roman"/>
          <w:szCs w:val="24"/>
        </w:rPr>
        <w:t>5个采样点。</w:t>
      </w:r>
    </w:p>
    <w:p w14:paraId="6246DE28">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编制依据：</w:t>
      </w:r>
    </w:p>
    <w:p w14:paraId="5A2DF5C4">
      <w:pPr>
        <w:adjustRightInd w:val="0"/>
        <w:snapToGrid w:val="0"/>
        <w:spacing w:line="240" w:lineRule="auto"/>
        <w:ind w:firstLine="480" w:firstLineChars="200"/>
        <w:rPr>
          <w:rFonts w:hint="default" w:ascii="Times New Roman" w:hAnsi="Times New Roman" w:cs="Times New Roman"/>
          <w:szCs w:val="24"/>
          <w:vertAlign w:val="baseline"/>
          <w:lang w:val="en-US" w:eastAsia="zh-CN"/>
        </w:rPr>
      </w:pPr>
      <w:r>
        <w:rPr>
          <w:rFonts w:hint="eastAsia" w:cs="Times New Roman"/>
          <w:szCs w:val="24"/>
          <w:lang w:val="en-US" w:eastAsia="zh-CN"/>
        </w:rPr>
        <w:t>布点及数量参考</w:t>
      </w:r>
      <w:r>
        <w:rPr>
          <w:rFonts w:hint="default" w:cs="Times New Roman"/>
          <w:szCs w:val="24"/>
          <w:lang w:val="en-US" w:eastAsia="zh-CN"/>
        </w:rPr>
        <w:t>GB/T 18204.6《公共场所卫生检验方法 第6部分：卫生监测技术规范》，</w:t>
      </w:r>
      <w:r>
        <w:rPr>
          <w:rFonts w:hint="eastAsia" w:cs="Times New Roman"/>
          <w:szCs w:val="24"/>
          <w:lang w:val="en-US" w:eastAsia="zh-CN"/>
        </w:rPr>
        <w:t>同时依据</w:t>
      </w:r>
      <w:r>
        <w:rPr>
          <w:rFonts w:hint="default" w:cs="Times New Roman"/>
          <w:szCs w:val="24"/>
        </w:rPr>
        <w:t>GB50099-2011《中小学校设计规范》</w:t>
      </w:r>
      <w:r>
        <w:rPr>
          <w:rFonts w:hint="eastAsia" w:cs="Times New Roman"/>
          <w:szCs w:val="24"/>
          <w:lang w:eastAsia="zh-CN"/>
        </w:rPr>
        <w:t>，</w:t>
      </w:r>
      <w:r>
        <w:rPr>
          <w:rFonts w:hint="eastAsia" w:cs="Times New Roman"/>
          <w:szCs w:val="24"/>
          <w:lang w:val="en-US" w:eastAsia="zh-CN"/>
        </w:rPr>
        <w:t>中小学普通教室面积一般是50-60</w:t>
      </w:r>
      <w:r>
        <w:rPr>
          <w:rFonts w:hint="default" w:ascii="Times New Roman" w:hAnsi="Times New Roman" w:cs="Times New Roman"/>
          <w:szCs w:val="24"/>
        </w:rPr>
        <w:t>m</w:t>
      </w:r>
      <w:r>
        <w:rPr>
          <w:rFonts w:hint="default" w:ascii="Times New Roman" w:hAnsi="Times New Roman" w:cs="Times New Roman"/>
          <w:szCs w:val="24"/>
          <w:vertAlign w:val="superscript"/>
          <w:lang w:val="en-US" w:eastAsia="zh-CN"/>
        </w:rPr>
        <w:t>2</w:t>
      </w:r>
      <w:r>
        <w:rPr>
          <w:rFonts w:hint="default" w:ascii="Times New Roman" w:hAnsi="Times New Roman" w:cs="Times New Roman"/>
          <w:szCs w:val="24"/>
          <w:vertAlign w:val="baseline"/>
          <w:lang w:val="en-US" w:eastAsia="zh-CN"/>
        </w:rPr>
        <w:t>，对于面积较大的公用教室，存在超过50或100</w:t>
      </w:r>
      <w:r>
        <w:rPr>
          <w:rFonts w:hint="default" w:ascii="Times New Roman" w:hAnsi="Times New Roman" w:cs="Times New Roman"/>
          <w:szCs w:val="24"/>
        </w:rPr>
        <w:t>m</w:t>
      </w:r>
      <w:r>
        <w:rPr>
          <w:rFonts w:hint="default" w:ascii="Times New Roman" w:hAnsi="Times New Roman" w:cs="Times New Roman"/>
          <w:szCs w:val="24"/>
          <w:vertAlign w:val="superscript"/>
          <w:lang w:val="en-US" w:eastAsia="zh-CN"/>
        </w:rPr>
        <w:t>2</w:t>
      </w:r>
      <w:r>
        <w:rPr>
          <w:rFonts w:hint="default" w:ascii="Times New Roman" w:hAnsi="Times New Roman" w:cs="Times New Roman"/>
          <w:szCs w:val="24"/>
          <w:vertAlign w:val="baseline"/>
          <w:lang w:val="en-US" w:eastAsia="zh-CN"/>
        </w:rPr>
        <w:t>的房间。因此结合上述两项国标，将布点数量分界面积设置为50、100及100以上。</w:t>
      </w:r>
    </w:p>
    <w:p w14:paraId="7A0A45E6">
      <w:pPr>
        <w:adjustRightInd w:val="0"/>
        <w:snapToGrid w:val="0"/>
        <w:spacing w:line="240" w:lineRule="auto"/>
        <w:ind w:firstLine="480" w:firstLineChars="200"/>
        <w:rPr>
          <w:rFonts w:hint="default" w:cs="Times New Roman"/>
          <w:szCs w:val="24"/>
          <w:lang w:val="en-US" w:eastAsia="zh-CN"/>
        </w:rPr>
      </w:pPr>
      <w:r>
        <w:rPr>
          <w:rFonts w:hint="default" w:ascii="Times New Roman" w:hAnsi="Times New Roman" w:cs="Times New Roman"/>
          <w:szCs w:val="24"/>
          <w:vertAlign w:val="baseline"/>
          <w:lang w:val="en-US" w:eastAsia="zh-CN"/>
        </w:rPr>
        <w:t>教室</w:t>
      </w:r>
      <w:r>
        <w:rPr>
          <w:rFonts w:hint="default" w:cs="Times New Roman"/>
          <w:szCs w:val="24"/>
          <w:lang w:val="en-US" w:eastAsia="zh-CN"/>
        </w:rPr>
        <w:t>面积越大，空间均匀性越难满足，需要</w:t>
      </w:r>
      <w:r>
        <w:rPr>
          <w:rFonts w:hint="eastAsia" w:cs="Times New Roman"/>
          <w:szCs w:val="24"/>
          <w:lang w:val="en-US" w:eastAsia="zh-CN"/>
        </w:rPr>
        <w:t>设置</w:t>
      </w:r>
      <w:r>
        <w:rPr>
          <w:rFonts w:hint="default" w:cs="Times New Roman"/>
          <w:szCs w:val="24"/>
          <w:lang w:val="en-US" w:eastAsia="zh-CN"/>
        </w:rPr>
        <w:t>更多测点。此分级</w:t>
      </w:r>
      <w:r>
        <w:rPr>
          <w:rFonts w:hint="eastAsia" w:cs="Times New Roman"/>
          <w:szCs w:val="24"/>
          <w:lang w:val="en-US" w:eastAsia="zh-CN"/>
        </w:rPr>
        <w:t>是</w:t>
      </w:r>
      <w:r>
        <w:rPr>
          <w:rFonts w:hint="default" w:cs="Times New Roman"/>
          <w:szCs w:val="24"/>
          <w:lang w:val="en-US" w:eastAsia="zh-CN"/>
        </w:rPr>
        <w:t>在保证基本代表性的前提下，兼顾了采样成本和效率。</w:t>
      </w:r>
    </w:p>
    <w:p w14:paraId="30D341CE">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（3）采样点位置与高度</w:t>
      </w:r>
    </w:p>
    <w:p w14:paraId="319DFA90">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采样高度宜设在人员呼吸带高度，距地面0.8m~1.5m。</w:t>
      </w:r>
    </w:p>
    <w:p w14:paraId="168DDF69">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编制依据：</w:t>
      </w:r>
    </w:p>
    <w:p w14:paraId="55B82535">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基于监测数据可用于健康风险评估的考虑，规定采样点设在人员呼吸的高度。采样点位置与高度参照</w:t>
      </w:r>
      <w:r>
        <w:rPr>
          <w:rFonts w:hint="default" w:cs="Times New Roman"/>
          <w:szCs w:val="24"/>
          <w:lang w:val="en-US" w:eastAsia="zh-CN"/>
        </w:rPr>
        <w:t xml:space="preserve">GB/T 18204.3 </w:t>
      </w:r>
      <w:r>
        <w:rPr>
          <w:rFonts w:hint="eastAsia" w:cs="Times New Roman"/>
          <w:szCs w:val="24"/>
          <w:lang w:val="en-US" w:eastAsia="zh-CN"/>
        </w:rPr>
        <w:t>《</w:t>
      </w:r>
      <w:r>
        <w:rPr>
          <w:rFonts w:hint="default" w:cs="Times New Roman"/>
          <w:szCs w:val="24"/>
          <w:lang w:val="en-US" w:eastAsia="zh-CN"/>
        </w:rPr>
        <w:t>公共场所卫生检验方法 第3部分：空气微生物</w:t>
      </w:r>
      <w:r>
        <w:rPr>
          <w:rFonts w:hint="eastAsia" w:cs="Times New Roman"/>
          <w:szCs w:val="24"/>
          <w:lang w:val="en-US" w:eastAsia="zh-CN"/>
        </w:rPr>
        <w:t>》附录A采样高度的要求（</w:t>
      </w:r>
      <w:r>
        <w:rPr>
          <w:rFonts w:hint="default" w:cs="Times New Roman"/>
          <w:szCs w:val="24"/>
          <w:lang w:val="en-US" w:eastAsia="zh-CN"/>
        </w:rPr>
        <w:t>采样点原则上应与成人的呼吸带的高度相一致</w:t>
      </w:r>
      <w:r>
        <w:rPr>
          <w:rFonts w:hint="eastAsia" w:cs="Times New Roman"/>
          <w:szCs w:val="24"/>
          <w:lang w:val="en-US" w:eastAsia="zh-CN"/>
        </w:rPr>
        <w:t>，</w:t>
      </w:r>
      <w:r>
        <w:rPr>
          <w:rFonts w:hint="default" w:cs="Times New Roman"/>
          <w:szCs w:val="24"/>
          <w:lang w:val="en-US" w:eastAsia="zh-CN"/>
        </w:rPr>
        <w:t>在距离地面1.2m~1.5m 之间</w:t>
      </w:r>
      <w:r>
        <w:rPr>
          <w:rFonts w:hint="eastAsia" w:cs="Times New Roman"/>
          <w:szCs w:val="24"/>
          <w:lang w:val="en-US" w:eastAsia="zh-CN"/>
        </w:rPr>
        <w:t>）。考虑到学生身高和坐姿，本文件将距离地面高度调整为0.8m~1.5m，保证</w:t>
      </w:r>
      <w:r>
        <w:rPr>
          <w:rFonts w:hint="eastAsia" w:cs="Times New Roman"/>
          <w:szCs w:val="24"/>
        </w:rPr>
        <w:t>采样点</w:t>
      </w:r>
      <w:r>
        <w:rPr>
          <w:rFonts w:hint="eastAsia" w:cs="Times New Roman"/>
          <w:szCs w:val="24"/>
          <w:lang w:val="en-US" w:eastAsia="zh-CN"/>
        </w:rPr>
        <w:t>处于</w:t>
      </w:r>
      <w:r>
        <w:rPr>
          <w:rFonts w:hint="eastAsia" w:cs="Times New Roman"/>
          <w:szCs w:val="24"/>
        </w:rPr>
        <w:t>人</w:t>
      </w:r>
      <w:r>
        <w:rPr>
          <w:rFonts w:hint="eastAsia" w:cs="Times New Roman"/>
          <w:szCs w:val="24"/>
          <w:lang w:val="en-US" w:eastAsia="zh-CN"/>
        </w:rPr>
        <w:t>员</w:t>
      </w:r>
      <w:r>
        <w:rPr>
          <w:rFonts w:hint="eastAsia" w:cs="Times New Roman"/>
          <w:szCs w:val="24"/>
        </w:rPr>
        <w:t>呼吸</w:t>
      </w:r>
      <w:r>
        <w:rPr>
          <w:rFonts w:hint="eastAsia" w:cs="Times New Roman"/>
          <w:szCs w:val="24"/>
          <w:lang w:val="en-US" w:eastAsia="zh-CN"/>
        </w:rPr>
        <w:t>带</w:t>
      </w:r>
      <w:r>
        <w:rPr>
          <w:rFonts w:hint="eastAsia" w:cs="Times New Roman"/>
          <w:szCs w:val="24"/>
        </w:rPr>
        <w:t>高度。</w:t>
      </w:r>
    </w:p>
    <w:p w14:paraId="3678331C">
      <w:pPr>
        <w:pStyle w:val="4"/>
        <w:bidi w:val="0"/>
        <w:rPr>
          <w:rFonts w:hint="default" w:cs="Times New Roman"/>
          <w:lang w:val="en-US" w:eastAsia="zh-CN"/>
        </w:rPr>
      </w:pPr>
      <w:bookmarkStart w:id="158" w:name="_Toc7622"/>
      <w:bookmarkStart w:id="159" w:name="_Toc30102"/>
      <w:bookmarkStart w:id="160" w:name="_Toc8795"/>
      <w:r>
        <w:rPr>
          <w:rFonts w:hint="default" w:cs="Times New Roman"/>
          <w:lang w:val="en-US" w:eastAsia="zh-CN"/>
        </w:rPr>
        <w:t>7.采样方法与步骤</w:t>
      </w:r>
      <w:bookmarkEnd w:id="158"/>
      <w:bookmarkEnd w:id="159"/>
      <w:bookmarkEnd w:id="160"/>
    </w:p>
    <w:p w14:paraId="4161A8FF">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（1）采样环境工况</w:t>
      </w:r>
    </w:p>
    <w:p w14:paraId="4DBEE437">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采样前应关闭门窗、风扇及室内空气净化设备15min~30min，保持室内空气相对稳定。如使用集中空调通风系统，应提前关闭至少12h。</w:t>
      </w:r>
    </w:p>
    <w:p w14:paraId="5D7BDF0C">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编制依据：</w:t>
      </w:r>
    </w:p>
    <w:p w14:paraId="1B1873DD">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GB/T 18204.3 4.1.4规定了采样时关闭门窗15min~30min，参考该标准，本文件要求采样前关闭门窗等15min~30min，是为了在相对稳定的静态条件下，评估室内自身产生的病原体累积水平，避免室外空气瞬时涌入的干扰。要求集中空调关闭至少12h，是因为空调系统风道可能成为污染源或蓄积处，关闭较长时间后采样，能更好地评估来自建筑通风系统的潜在风险。</w:t>
      </w:r>
    </w:p>
    <w:p w14:paraId="09B376A6">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（2）采样参数设置</w:t>
      </w:r>
    </w:p>
    <w:p w14:paraId="6D6295AE">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——应无菌操作，采样器使用按照说明书要求进行。</w:t>
      </w:r>
    </w:p>
    <w:p w14:paraId="50AB29EB">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——采样器以不低于300 L/min流量采集5min~10min。</w:t>
      </w:r>
    </w:p>
    <w:p w14:paraId="133AB765">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——智能传感与数据传输单元应同步自动开启。</w:t>
      </w:r>
    </w:p>
    <w:p w14:paraId="23905046">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——当人员无法进入现场，应支持采样参数远程设置与启动。</w:t>
      </w:r>
    </w:p>
    <w:p w14:paraId="62F3D099">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编制依据：</w:t>
      </w:r>
    </w:p>
    <w:p w14:paraId="27007DD1">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不低于300 L/min的要求与第4章设备性能对应；采集5min~10min是基于大流量设备的综合考量。若采集时间太短则采样体积不足，采集时间太长可能导致采集液蒸发过度或微生物失活。设置5min~10min可确保采集到1.5~3m</w:t>
      </w:r>
      <w:r>
        <w:rPr>
          <w:rFonts w:hint="eastAsia" w:cs="Times New Roman"/>
          <w:szCs w:val="24"/>
          <w:vertAlign w:val="superscript"/>
          <w:lang w:val="en-US" w:eastAsia="zh-CN"/>
        </w:rPr>
        <w:t>3</w:t>
      </w:r>
      <w:r>
        <w:rPr>
          <w:rFonts w:hint="eastAsia" w:cs="Times New Roman"/>
          <w:szCs w:val="24"/>
          <w:lang w:val="en-US" w:eastAsia="zh-CN"/>
        </w:rPr>
        <w:t>的空气，满足大多数分析方法的灵敏度需求。</w:t>
      </w:r>
    </w:p>
    <w:p w14:paraId="1A28FC14">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建议增加采样参数远程设置启动功能，是为了满足教室长时间采样或者教室出现病原体但人员无法进入的采样需求，体现了智能采样的灵活性和先进性。</w:t>
      </w:r>
    </w:p>
    <w:p w14:paraId="3F98852C">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（3）采样操作流程</w:t>
      </w:r>
    </w:p>
    <w:p w14:paraId="19DF1358">
      <w:pPr>
        <w:numPr>
          <w:ilvl w:val="0"/>
          <w:numId w:val="5"/>
        </w:numPr>
        <w:adjustRightInd w:val="0"/>
        <w:snapToGrid w:val="0"/>
        <w:spacing w:line="240" w:lineRule="auto"/>
        <w:ind w:left="425" w:leftChars="0" w:firstLine="55" w:firstLineChars="0"/>
        <w:rPr>
          <w:rFonts w:hint="eastAsia" w:cs="Times New Roman"/>
          <w:szCs w:val="24"/>
          <w:lang w:val="en-US" w:eastAsia="zh-CN"/>
        </w:rPr>
      </w:pPr>
      <w:r>
        <w:rPr>
          <w:rFonts w:hint="eastAsia" w:cs="Times New Roman"/>
          <w:szCs w:val="24"/>
        </w:rPr>
        <w:t>在采样器终端上创建或选择采样任务，录入点位信息。</w:t>
      </w:r>
    </w:p>
    <w:p w14:paraId="689B54E6">
      <w:pPr>
        <w:numPr>
          <w:ilvl w:val="0"/>
          <w:numId w:val="5"/>
        </w:numPr>
        <w:adjustRightInd w:val="0"/>
        <w:snapToGrid w:val="0"/>
        <w:spacing w:line="240" w:lineRule="auto"/>
        <w:ind w:left="425" w:leftChars="0" w:firstLine="55" w:firstLineChars="0"/>
        <w:rPr>
          <w:rFonts w:hint="eastAsia" w:cs="Times New Roman"/>
          <w:szCs w:val="24"/>
          <w:lang w:val="en-US" w:eastAsia="zh-CN"/>
        </w:rPr>
      </w:pPr>
      <w:r>
        <w:rPr>
          <w:rFonts w:hint="eastAsia" w:cs="Times New Roman"/>
          <w:szCs w:val="24"/>
        </w:rPr>
        <w:t>将装有规定量无菌采集液的采样瓶正确安装至采样器，确保气路密封。</w:t>
      </w:r>
      <w:r>
        <w:rPr>
          <w:rFonts w:hint="eastAsia" w:cs="Times New Roman"/>
          <w:szCs w:val="24"/>
          <w:lang w:val="en-US" w:eastAsia="zh-CN"/>
        </w:rPr>
        <w:t>。</w:t>
      </w:r>
    </w:p>
    <w:p w14:paraId="6FD28792">
      <w:pPr>
        <w:numPr>
          <w:ilvl w:val="0"/>
          <w:numId w:val="5"/>
        </w:numPr>
        <w:adjustRightInd w:val="0"/>
        <w:snapToGrid w:val="0"/>
        <w:spacing w:line="240" w:lineRule="auto"/>
        <w:ind w:left="425" w:leftChars="0" w:firstLine="55" w:firstLineChars="0"/>
        <w:rPr>
          <w:rFonts w:hint="eastAsia" w:cs="Times New Roman"/>
          <w:szCs w:val="24"/>
          <w:lang w:val="en-US" w:eastAsia="zh-CN"/>
        </w:rPr>
      </w:pPr>
      <w:r>
        <w:rPr>
          <w:rFonts w:hint="eastAsia" w:cs="Times New Roman"/>
          <w:szCs w:val="24"/>
        </w:rPr>
        <w:t>设置采样流量、时间等参数，启动自动采样程序。系统自动记录开始时间、初始流量和实时环境数据。若需无人操作，可在放置采集液后，远程进行采集控制。</w:t>
      </w:r>
    </w:p>
    <w:p w14:paraId="26A9D29A">
      <w:pPr>
        <w:numPr>
          <w:ilvl w:val="0"/>
          <w:numId w:val="5"/>
        </w:numPr>
        <w:adjustRightInd w:val="0"/>
        <w:snapToGrid w:val="0"/>
        <w:spacing w:line="240" w:lineRule="auto"/>
        <w:ind w:left="425" w:leftChars="0" w:firstLine="55" w:firstLineChars="0"/>
        <w:rPr>
          <w:rFonts w:hint="eastAsia" w:cs="Times New Roman"/>
          <w:szCs w:val="24"/>
          <w:lang w:val="en-US" w:eastAsia="zh-CN"/>
        </w:rPr>
      </w:pPr>
      <w:r>
        <w:rPr>
          <w:rFonts w:hint="eastAsia" w:cs="Times New Roman"/>
          <w:szCs w:val="24"/>
        </w:rPr>
        <w:t>采样期间，尽量减少人员走动，避免对气流产生干扰。</w:t>
      </w:r>
    </w:p>
    <w:p w14:paraId="31096914">
      <w:pPr>
        <w:numPr>
          <w:ilvl w:val="0"/>
          <w:numId w:val="5"/>
        </w:numPr>
        <w:adjustRightInd w:val="0"/>
        <w:snapToGrid w:val="0"/>
        <w:spacing w:line="240" w:lineRule="auto"/>
        <w:ind w:left="425" w:leftChars="0" w:firstLine="55" w:firstLineChars="0"/>
        <w:rPr>
          <w:rFonts w:hint="eastAsia" w:cs="Times New Roman"/>
          <w:szCs w:val="24"/>
          <w:lang w:val="en-US" w:eastAsia="zh-CN"/>
        </w:rPr>
      </w:pPr>
      <w:r>
        <w:rPr>
          <w:rFonts w:hint="eastAsia" w:cs="Times New Roman"/>
          <w:szCs w:val="24"/>
        </w:rPr>
        <w:t>采样结束后，设备自动停止并记录数据。小心取下样本，做好唯一标识。</w:t>
      </w:r>
    </w:p>
    <w:p w14:paraId="6B3A3783">
      <w:pPr>
        <w:numPr>
          <w:ilvl w:val="0"/>
          <w:numId w:val="5"/>
        </w:numPr>
        <w:adjustRightInd w:val="0"/>
        <w:snapToGrid w:val="0"/>
        <w:spacing w:line="240" w:lineRule="auto"/>
        <w:ind w:left="425" w:leftChars="0" w:firstLine="55" w:firstLineChars="0"/>
        <w:rPr>
          <w:rFonts w:hint="default" w:cs="Times New Roman"/>
          <w:szCs w:val="24"/>
          <w:lang w:val="en-US" w:eastAsia="zh-CN"/>
        </w:rPr>
      </w:pPr>
      <w:r>
        <w:rPr>
          <w:rFonts w:hint="eastAsia" w:cs="Times New Roman"/>
          <w:szCs w:val="24"/>
          <w:lang w:val="en-US" w:eastAsia="zh-CN"/>
        </w:rPr>
        <w:t>使用消毒湿巾或75%酒精棉片对采样器接触表面进行擦拭消毒。</w:t>
      </w:r>
    </w:p>
    <w:p w14:paraId="53DB7B45">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编制依据：</w:t>
      </w:r>
    </w:p>
    <w:p w14:paraId="38BACFAC">
      <w:pPr>
        <w:adjustRightInd w:val="0"/>
        <w:snapToGrid w:val="0"/>
        <w:spacing w:line="240" w:lineRule="auto"/>
        <w:ind w:firstLine="480" w:firstLineChars="200"/>
        <w:rPr>
          <w:rFonts w:hint="default" w:ascii="Times New Roman" w:hAnsi="Times New Roman" w:eastAsia="仿宋" w:cs="Times New Roman"/>
          <w:szCs w:val="24"/>
          <w:lang w:val="en-US" w:eastAsia="zh-CN"/>
        </w:rPr>
      </w:pPr>
      <w:r>
        <w:rPr>
          <w:rFonts w:hint="default" w:ascii="Times New Roman" w:hAnsi="Times New Roman" w:eastAsia="仿宋" w:cs="Times New Roman"/>
          <w:szCs w:val="24"/>
          <w:lang w:val="en-US" w:eastAsia="zh-CN"/>
        </w:rPr>
        <w:t>本条文规定的</w:t>
      </w:r>
      <w:r>
        <w:rPr>
          <w:rFonts w:hint="eastAsia" w:cs="Times New Roman"/>
          <w:szCs w:val="24"/>
          <w:lang w:val="en-US" w:eastAsia="zh-CN"/>
        </w:rPr>
        <w:t>六</w:t>
      </w:r>
      <w:r>
        <w:rPr>
          <w:rFonts w:hint="default" w:ascii="Times New Roman" w:hAnsi="Times New Roman" w:eastAsia="仿宋" w:cs="Times New Roman"/>
          <w:szCs w:val="24"/>
          <w:lang w:val="en-US" w:eastAsia="zh-CN"/>
        </w:rPr>
        <w:t>步操作流程，是确保</w:t>
      </w:r>
      <w:r>
        <w:rPr>
          <w:rFonts w:hint="default" w:ascii="Times New Roman" w:hAnsi="Times New Roman" w:cs="Times New Roman"/>
          <w:szCs w:val="24"/>
          <w:lang w:val="en-US" w:eastAsia="zh-CN"/>
        </w:rPr>
        <w:t>教室室内</w:t>
      </w:r>
      <w:r>
        <w:rPr>
          <w:rFonts w:hint="default" w:ascii="Times New Roman" w:hAnsi="Times New Roman" w:eastAsia="仿宋" w:cs="Times New Roman"/>
          <w:szCs w:val="24"/>
          <w:lang w:val="en-US" w:eastAsia="zh-CN"/>
        </w:rPr>
        <w:t>空气病原体现场智能采样工作规范性、一致性、可追溯性及生物安全性的核心程序。</w:t>
      </w:r>
    </w:p>
    <w:p w14:paraId="05AAD254">
      <w:pPr>
        <w:adjustRightInd w:val="0"/>
        <w:snapToGrid w:val="0"/>
        <w:spacing w:line="240" w:lineRule="auto"/>
        <w:ind w:firstLine="480" w:firstLineChars="200"/>
        <w:rPr>
          <w:rFonts w:hint="default" w:ascii="Times New Roman" w:hAnsi="Times New Roman" w:eastAsia="仿宋" w:cs="Times New Roman"/>
          <w:szCs w:val="24"/>
          <w:lang w:val="en-US" w:eastAsia="zh-CN"/>
        </w:rPr>
      </w:pPr>
      <w:r>
        <w:rPr>
          <w:rFonts w:hint="eastAsia" w:cs="Times New Roman"/>
          <w:szCs w:val="24"/>
          <w:lang w:val="en-US" w:eastAsia="zh-CN"/>
        </w:rPr>
        <w:t>“</w:t>
      </w:r>
      <w:r>
        <w:rPr>
          <w:rFonts w:hint="default" w:cs="Times New Roman"/>
          <w:szCs w:val="24"/>
        </w:rPr>
        <w:t>在采样器终端上创建或选择采样任务，录入点位信息</w:t>
      </w:r>
      <w:r>
        <w:rPr>
          <w:rFonts w:hint="eastAsia" w:cs="Times New Roman"/>
          <w:szCs w:val="24"/>
          <w:lang w:val="en-US" w:eastAsia="zh-CN"/>
        </w:rPr>
        <w:t>”</w:t>
      </w:r>
      <w:r>
        <w:rPr>
          <w:rFonts w:hint="default" w:ascii="Times New Roman" w:hAnsi="Times New Roman" w:eastAsia="仿宋" w:cs="Times New Roman"/>
          <w:szCs w:val="24"/>
          <w:lang w:val="en-US" w:eastAsia="zh-CN"/>
        </w:rPr>
        <w:t>。此</w:t>
      </w:r>
      <w:r>
        <w:rPr>
          <w:rFonts w:hint="default" w:ascii="Times New Roman" w:hAnsi="Times New Roman" w:cs="Times New Roman"/>
          <w:szCs w:val="24"/>
          <w:lang w:val="en-US" w:eastAsia="zh-CN"/>
        </w:rPr>
        <w:t>步骤</w:t>
      </w:r>
      <w:r>
        <w:rPr>
          <w:rFonts w:hint="default" w:ascii="Times New Roman" w:hAnsi="Times New Roman" w:eastAsia="仿宋" w:cs="Times New Roman"/>
          <w:szCs w:val="24"/>
          <w:lang w:val="en-US" w:eastAsia="zh-CN"/>
        </w:rPr>
        <w:t>是实现采样工作数字化管理与可追溯性的</w:t>
      </w:r>
      <w:r>
        <w:rPr>
          <w:rFonts w:hint="eastAsia" w:cs="Times New Roman"/>
          <w:szCs w:val="24"/>
          <w:lang w:val="en-US" w:eastAsia="zh-CN"/>
        </w:rPr>
        <w:t>重要</w:t>
      </w:r>
      <w:r>
        <w:rPr>
          <w:rFonts w:hint="default" w:ascii="Times New Roman" w:hAnsi="Times New Roman" w:eastAsia="仿宋" w:cs="Times New Roman"/>
          <w:szCs w:val="24"/>
          <w:lang w:val="en-US" w:eastAsia="zh-CN"/>
        </w:rPr>
        <w:t>环节。在智能终端创建或选择</w:t>
      </w:r>
      <w:r>
        <w:rPr>
          <w:rFonts w:hint="default" w:ascii="Times New Roman" w:hAnsi="Times New Roman" w:cs="Times New Roman"/>
          <w:szCs w:val="24"/>
          <w:lang w:val="en-US" w:eastAsia="zh-CN"/>
        </w:rPr>
        <w:t>采样</w:t>
      </w:r>
      <w:r>
        <w:rPr>
          <w:rFonts w:hint="default" w:ascii="Times New Roman" w:hAnsi="Times New Roman" w:eastAsia="仿宋" w:cs="Times New Roman"/>
          <w:szCs w:val="24"/>
          <w:lang w:val="en-US" w:eastAsia="zh-CN"/>
        </w:rPr>
        <w:t>任务，可避免人为操作失误。录入点位信息，是后续数据与空间位置绑定的基础，是智能采样优于传统纸质记录的关键。</w:t>
      </w:r>
    </w:p>
    <w:p w14:paraId="621065EC">
      <w:pPr>
        <w:adjustRightInd w:val="0"/>
        <w:snapToGrid w:val="0"/>
        <w:spacing w:line="240" w:lineRule="auto"/>
        <w:ind w:firstLine="480" w:firstLineChars="200"/>
        <w:rPr>
          <w:rFonts w:hint="default" w:ascii="Times New Roman" w:hAnsi="Times New Roman" w:eastAsia="仿宋" w:cs="Times New Roman"/>
          <w:szCs w:val="24"/>
          <w:lang w:val="en-US" w:eastAsia="zh-CN"/>
        </w:rPr>
      </w:pPr>
      <w:r>
        <w:rPr>
          <w:rFonts w:hint="eastAsia" w:cs="Times New Roman"/>
          <w:szCs w:val="24"/>
          <w:lang w:val="en-US" w:eastAsia="zh-CN"/>
        </w:rPr>
        <w:t>“将装有规定量无菌采集液的采样瓶正确安装至采样器，确保气路密封”。此步骤是保证样本不受外源污染、采样流量准确、有效结果准确可靠的基本前提。无菌操作是微生物学检测的基本原则，气路密封是保障流量准确的必要操作环节。若密封不严将导致实际流量降低，采样体积偏高，结果出现偏倚。</w:t>
      </w:r>
    </w:p>
    <w:p w14:paraId="56C6B45F">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设置采样流量、时间等参数，启动自动采样程序。系统自动记录开始时间、初始流量和实时环境数据。若需无人操作，可在放置采集液后，远程进行采集控制。”。此步骤中用系统自动记录替代人工记录，消除了人为误差，提高了数据的客观性和可信度。</w:t>
      </w:r>
    </w:p>
    <w:p w14:paraId="04CF8F02">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w:t>
      </w:r>
      <w:r>
        <w:rPr>
          <w:rFonts w:hint="eastAsia" w:cs="Times New Roman"/>
          <w:szCs w:val="24"/>
        </w:rPr>
        <w:t>采样期间，尽量减少人员走动，避免对气流产生干扰</w:t>
      </w:r>
      <w:r>
        <w:rPr>
          <w:rFonts w:hint="eastAsia" w:cs="Times New Roman"/>
          <w:szCs w:val="24"/>
          <w:lang w:val="en-US" w:eastAsia="zh-CN"/>
        </w:rPr>
        <w:t>”。此步骤要求采样人员和学生在采样期间减少走动，保证室内空气</w:t>
      </w:r>
      <w:r>
        <w:rPr>
          <w:rFonts w:hint="eastAsia" w:cs="Times New Roman"/>
          <w:szCs w:val="24"/>
        </w:rPr>
        <w:t>在相对稳定的静态条件下</w:t>
      </w:r>
      <w:r>
        <w:rPr>
          <w:rFonts w:hint="eastAsia" w:cs="Times New Roman"/>
          <w:szCs w:val="24"/>
          <w:lang w:eastAsia="zh-CN"/>
        </w:rPr>
        <w:t>。</w:t>
      </w:r>
    </w:p>
    <w:p w14:paraId="04EB9816">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“采样结束后，设备自动停止并记录数据。小心取下样本，做好唯一标识”</w:t>
      </w:r>
      <w:r>
        <w:rPr>
          <w:rFonts w:hint="default" w:cs="Times New Roman"/>
        </w:rPr>
        <w:t>。</w:t>
      </w:r>
      <w:r>
        <w:rPr>
          <w:rFonts w:hint="default" w:cs="Times New Roman"/>
          <w:lang w:val="en-US" w:eastAsia="zh-CN"/>
        </w:rPr>
        <w:t>该步骤是样本从现场到实验室的</w:t>
      </w:r>
      <w:r>
        <w:rPr>
          <w:rFonts w:hint="eastAsia" w:cs="Times New Roman"/>
          <w:lang w:val="en-US" w:eastAsia="zh-CN"/>
        </w:rPr>
        <w:t>标识</w:t>
      </w:r>
      <w:r>
        <w:rPr>
          <w:rFonts w:hint="default" w:cs="Times New Roman"/>
          <w:lang w:val="en-US" w:eastAsia="zh-CN"/>
        </w:rPr>
        <w:t>，是可追溯性链条的核心环节</w:t>
      </w:r>
      <w:r>
        <w:rPr>
          <w:rFonts w:hint="eastAsia" w:cs="Times New Roman"/>
          <w:lang w:val="en-US" w:eastAsia="zh-CN"/>
        </w:rPr>
        <w:t>。</w:t>
      </w:r>
    </w:p>
    <w:p w14:paraId="76D7F074">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使用消毒湿巾或75%酒精棉片对采样器接触表面进行擦拭消毒”。此步骤是防止交叉污染的流程操作。采样器在可能存在病原体的空气中工作，其外表面可能吸附或沾染颗粒物。消毒是为了保护后续操作人员和维护人员，并防止在一次采样中携带的污染物被携带至下一个采样点，导致样本间的交叉污染。采用“75%酒精棉片”是因其对多数细菌、病毒（包括包膜病毒）具有快速有效的灭活能力，且易于挥发、无残留，适合现场快速消毒。</w:t>
      </w:r>
    </w:p>
    <w:p w14:paraId="53A5BC83">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（4）现场质量控制样品</w:t>
      </w:r>
    </w:p>
    <w:p w14:paraId="1589343C">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每批次采样应至少设置1个现场空白样本（携带未开封采集液至现场并随行）和1个运输空白样本，用于过程污染控制。</w:t>
      </w:r>
    </w:p>
    <w:p w14:paraId="115FE009">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编制依据：</w:t>
      </w:r>
    </w:p>
    <w:p w14:paraId="76B2A17E">
      <w:pPr>
        <w:adjustRightInd w:val="0"/>
        <w:snapToGrid w:val="0"/>
        <w:spacing w:line="240" w:lineRule="auto"/>
        <w:ind w:firstLine="480" w:firstLineChars="200"/>
        <w:rPr>
          <w:rFonts w:hint="default" w:cs="Times New Roman"/>
          <w:szCs w:val="24"/>
          <w:lang w:val="en-US" w:eastAsia="zh-CN"/>
        </w:rPr>
      </w:pPr>
      <w:r>
        <w:rPr>
          <w:rFonts w:hint="default" w:cs="Times New Roman"/>
          <w:szCs w:val="24"/>
          <w:lang w:val="en-US" w:eastAsia="zh-CN"/>
        </w:rPr>
        <w:t>设置现场空白和运输空白，是环境监测质量控制体系的强制性要求。用于鉴别采样准备、现场开启、运输过程中引入的污染，是判断样品结果是否有效的重要依据。此做法是GB/T 18204.3等标准及国际通用环境监测指南的共同要求。</w:t>
      </w:r>
    </w:p>
    <w:p w14:paraId="0C430021">
      <w:pPr>
        <w:pStyle w:val="4"/>
        <w:bidi w:val="0"/>
        <w:rPr>
          <w:rFonts w:hint="default" w:cs="Times New Roman"/>
          <w:lang w:val="en-US" w:eastAsia="zh-CN"/>
        </w:rPr>
      </w:pPr>
      <w:bookmarkStart w:id="161" w:name="_Toc13457"/>
      <w:bookmarkStart w:id="162" w:name="_Toc13758"/>
      <w:bookmarkStart w:id="163" w:name="_Toc14486"/>
      <w:r>
        <w:rPr>
          <w:rFonts w:hint="default" w:cs="Times New Roman"/>
          <w:lang w:val="en-US" w:eastAsia="zh-CN"/>
        </w:rPr>
        <w:t>8.样品运输与保存</w:t>
      </w:r>
      <w:bookmarkEnd w:id="161"/>
      <w:bookmarkEnd w:id="162"/>
      <w:bookmarkEnd w:id="163"/>
    </w:p>
    <w:p w14:paraId="007710CD">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采样后，应立即将采样瓶置于4℃~8℃的环境内，并在4h内送达实验室进行培养或检测。若需延时检测，应在-70℃或以下温度保存，避免反复冻融。非培养样本也应尽快处理。</w:t>
      </w:r>
    </w:p>
    <w:p w14:paraId="295C54B3">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编制依据：</w:t>
      </w:r>
    </w:p>
    <w:p w14:paraId="383F16F1">
      <w:pPr>
        <w:adjustRightInd w:val="0"/>
        <w:snapToGrid w:val="0"/>
        <w:spacing w:line="240" w:lineRule="auto"/>
        <w:ind w:firstLine="480" w:firstLineChars="200"/>
        <w:rPr>
          <w:rFonts w:hint="default" w:cs="Times New Roman"/>
          <w:szCs w:val="24"/>
          <w:lang w:val="en-US" w:eastAsia="zh-CN"/>
        </w:rPr>
      </w:pPr>
      <w:r>
        <w:rPr>
          <w:rFonts w:hint="default" w:cs="Times New Roman"/>
          <w:szCs w:val="24"/>
          <w:lang w:val="en-US" w:eastAsia="zh-CN"/>
        </w:rPr>
        <w:t>4℃冷藏，4h内送达</w:t>
      </w:r>
      <w:r>
        <w:rPr>
          <w:rFonts w:hint="eastAsia" w:cs="Times New Roman"/>
          <w:szCs w:val="24"/>
          <w:lang w:val="en-US" w:eastAsia="zh-CN"/>
        </w:rPr>
        <w:t>的</w:t>
      </w:r>
      <w:r>
        <w:rPr>
          <w:rFonts w:hint="default" w:cs="Times New Roman"/>
          <w:szCs w:val="24"/>
          <w:lang w:val="en-US" w:eastAsia="zh-CN"/>
        </w:rPr>
        <w:t>要求基于微生物学样本保存的通用准则。大多数细菌和病毒在4℃条件下可显著减缓代谢和降解速度，4小时的时限是为了最大限度保持病原体的活性（用于培养）或核酸完整性（用于分子检测）。</w:t>
      </w:r>
    </w:p>
    <w:p w14:paraId="005E3EDD">
      <w:pPr>
        <w:adjustRightInd w:val="0"/>
        <w:snapToGrid w:val="0"/>
        <w:spacing w:line="240" w:lineRule="auto"/>
        <w:ind w:firstLine="480" w:firstLineChars="200"/>
        <w:rPr>
          <w:rFonts w:hint="default" w:cs="Times New Roman"/>
          <w:szCs w:val="24"/>
          <w:lang w:val="en-US" w:eastAsia="zh-CN"/>
        </w:rPr>
      </w:pPr>
      <w:r>
        <w:rPr>
          <w:rFonts w:hint="default" w:cs="Times New Roman"/>
          <w:szCs w:val="24"/>
          <w:lang w:val="en-US" w:eastAsia="zh-CN"/>
        </w:rPr>
        <w:t>-70℃或以下长期保存</w:t>
      </w:r>
      <w:r>
        <w:rPr>
          <w:rFonts w:hint="eastAsia" w:cs="Times New Roman"/>
          <w:szCs w:val="24"/>
          <w:lang w:val="en-US" w:eastAsia="zh-CN"/>
        </w:rPr>
        <w:t>的要求</w:t>
      </w:r>
      <w:r>
        <w:rPr>
          <w:rFonts w:hint="default" w:cs="Times New Roman"/>
          <w:szCs w:val="24"/>
          <w:lang w:val="en-US" w:eastAsia="zh-CN"/>
        </w:rPr>
        <w:t>适用于需要长期保存或后续进行分子生物学分析的样本。超低温冷冻可基本抑制所有酶活性和化学降解，是保存病毒核酸等生物大分子的标准条件。强调</w:t>
      </w:r>
      <w:r>
        <w:rPr>
          <w:rFonts w:hint="eastAsia" w:cs="Times New Roman"/>
          <w:szCs w:val="24"/>
          <w:lang w:val="en-US" w:eastAsia="zh-CN"/>
        </w:rPr>
        <w:t>“</w:t>
      </w:r>
      <w:r>
        <w:rPr>
          <w:rFonts w:hint="default" w:cs="Times New Roman"/>
          <w:szCs w:val="24"/>
          <w:lang w:val="en-US" w:eastAsia="zh-CN"/>
        </w:rPr>
        <w:t>避免反复冻融</w:t>
      </w:r>
      <w:r>
        <w:rPr>
          <w:rFonts w:hint="eastAsia" w:cs="Times New Roman"/>
          <w:szCs w:val="24"/>
          <w:lang w:val="en-US" w:eastAsia="zh-CN"/>
        </w:rPr>
        <w:t>”</w:t>
      </w:r>
      <w:r>
        <w:rPr>
          <w:rFonts w:hint="default" w:cs="Times New Roman"/>
          <w:szCs w:val="24"/>
          <w:lang w:val="en-US" w:eastAsia="zh-CN"/>
        </w:rPr>
        <w:t>是因为冻融循环会严重破坏细胞结构和核酸链，影响检测结果。</w:t>
      </w:r>
    </w:p>
    <w:p w14:paraId="1DA607FB">
      <w:pPr>
        <w:pStyle w:val="4"/>
        <w:bidi w:val="0"/>
        <w:rPr>
          <w:rFonts w:hint="default" w:cs="Times New Roman"/>
          <w:lang w:val="en-US" w:eastAsia="zh-CN"/>
        </w:rPr>
      </w:pPr>
      <w:bookmarkStart w:id="164" w:name="_Toc4855"/>
      <w:bookmarkStart w:id="165" w:name="_Toc27712"/>
      <w:bookmarkStart w:id="166" w:name="_Toc2404"/>
      <w:r>
        <w:rPr>
          <w:rFonts w:hint="default" w:cs="Times New Roman"/>
          <w:lang w:val="en-US" w:eastAsia="zh-CN"/>
        </w:rPr>
        <w:t>9.质量控制</w:t>
      </w:r>
      <w:bookmarkEnd w:id="164"/>
      <w:bookmarkEnd w:id="165"/>
      <w:bookmarkEnd w:id="166"/>
    </w:p>
    <w:p w14:paraId="67B4C164">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（1）</w:t>
      </w:r>
      <w:r>
        <w:rPr>
          <w:rFonts w:hint="default" w:cs="Times New Roman"/>
          <w:szCs w:val="24"/>
          <w:lang w:val="en-US" w:eastAsia="zh-CN"/>
        </w:rPr>
        <w:t>仪器校准与适应性维护</w:t>
      </w:r>
    </w:p>
    <w:p w14:paraId="34E36EED">
      <w:pPr>
        <w:adjustRightInd w:val="0"/>
        <w:snapToGrid w:val="0"/>
        <w:spacing w:line="240" w:lineRule="auto"/>
        <w:ind w:firstLine="480" w:firstLineChars="200"/>
        <w:rPr>
          <w:rFonts w:hint="default" w:cs="Times New Roman"/>
          <w:szCs w:val="24"/>
          <w:lang w:val="en-US" w:eastAsia="zh-CN"/>
        </w:rPr>
      </w:pPr>
      <w:r>
        <w:rPr>
          <w:rFonts w:hint="default" w:cs="Times New Roman"/>
          <w:szCs w:val="24"/>
          <w:lang w:val="en-US" w:eastAsia="zh-CN"/>
        </w:rPr>
        <w:t>应依据JJF 1826定期对采样器的采样流量进行校准，校准周期不宜超过12个月。辅助环境传感器（温度、相对湿度、CO</w:t>
      </w:r>
      <w:r>
        <w:rPr>
          <w:rFonts w:hint="default" w:cs="Times New Roman"/>
          <w:szCs w:val="24"/>
          <w:vertAlign w:val="subscript"/>
          <w:lang w:val="en-US" w:eastAsia="zh-CN"/>
        </w:rPr>
        <w:t>2</w:t>
      </w:r>
      <w:r>
        <w:rPr>
          <w:rFonts w:hint="default" w:cs="Times New Roman"/>
          <w:szCs w:val="24"/>
          <w:lang w:val="en-US" w:eastAsia="zh-CN"/>
        </w:rPr>
        <w:t>、颗粒物）应按制造商建议或每年至少进行一次验证或校准，确保其监测数据准确，用于环境评估。</w:t>
      </w:r>
    </w:p>
    <w:p w14:paraId="7724B3D9">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编制依据：</w:t>
      </w:r>
    </w:p>
    <w:p w14:paraId="717FFEA3">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规定流量校准周期不宜超过12个月，是JJF 1826和JJF 2304对定期校准的通用建议。对CO</w:t>
      </w:r>
      <w:r>
        <w:rPr>
          <w:rFonts w:hint="eastAsia" w:cs="Times New Roman"/>
          <w:szCs w:val="24"/>
          <w:vertAlign w:val="subscript"/>
          <w:lang w:val="en-US" w:eastAsia="zh-CN"/>
        </w:rPr>
        <w:t>2</w:t>
      </w:r>
      <w:r>
        <w:rPr>
          <w:rFonts w:hint="eastAsia" w:cs="Times New Roman"/>
          <w:szCs w:val="24"/>
          <w:lang w:val="en-US" w:eastAsia="zh-CN"/>
        </w:rPr>
        <w:t>、颗粒物等辅助传感器建议每年验证，是确保其长期监测数据准确的必要措施。教室环境相对洁净、稳定，12个月的周期比较经济合理。</w:t>
      </w:r>
    </w:p>
    <w:p w14:paraId="28A796FF">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（2）采样过程质量控制</w:t>
      </w:r>
    </w:p>
    <w:p w14:paraId="5F346105">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应记录每次采样开始与结束时的流量，其偏差应在校准允差范围内。采样时应同步记录温度、湿度和大气压力，用于将实际采样体积换算为标准状态（0 ℃, 101.325 kPa）下的体积，保证检测结果的可比性。</w:t>
      </w:r>
    </w:p>
    <w:p w14:paraId="37D6FA99">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编制依据：</w:t>
      </w:r>
    </w:p>
    <w:p w14:paraId="5685516F">
      <w:pPr>
        <w:adjustRightInd w:val="0"/>
        <w:snapToGrid w:val="0"/>
        <w:spacing w:line="240" w:lineRule="auto"/>
        <w:ind w:firstLine="480" w:firstLineChars="200"/>
        <w:rPr>
          <w:rFonts w:hint="default" w:cs="Times New Roman"/>
          <w:szCs w:val="24"/>
          <w:lang w:val="en-US" w:eastAsia="zh-CN"/>
        </w:rPr>
      </w:pPr>
      <w:r>
        <w:rPr>
          <w:rFonts w:hint="default" w:cs="Times New Roman"/>
          <w:szCs w:val="24"/>
          <w:lang w:val="en-US" w:eastAsia="zh-CN"/>
        </w:rPr>
        <w:t>记录前后流量</w:t>
      </w:r>
      <w:r>
        <w:rPr>
          <w:rFonts w:hint="eastAsia" w:cs="Times New Roman"/>
          <w:szCs w:val="24"/>
          <w:lang w:val="en-US" w:eastAsia="zh-CN"/>
        </w:rPr>
        <w:t>是为了</w:t>
      </w:r>
      <w:r>
        <w:rPr>
          <w:rFonts w:hint="default" w:cs="Times New Roman"/>
          <w:szCs w:val="24"/>
          <w:lang w:val="en-US" w:eastAsia="zh-CN"/>
        </w:rPr>
        <w:t>监控单次采样过程中流量是否稳定，偏差需在校准允差内，这是过程受控的证明。</w:t>
      </w:r>
    </w:p>
    <w:p w14:paraId="409A9E49">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将实际采样体积</w:t>
      </w:r>
      <w:r>
        <w:rPr>
          <w:rFonts w:hint="default" w:cs="Times New Roman"/>
          <w:szCs w:val="24"/>
          <w:lang w:val="en-US" w:eastAsia="zh-CN"/>
        </w:rPr>
        <w:t>换</w:t>
      </w:r>
      <w:r>
        <w:rPr>
          <w:rFonts w:hint="eastAsia" w:cs="Times New Roman"/>
          <w:szCs w:val="24"/>
          <w:lang w:val="en-US" w:eastAsia="zh-CN"/>
        </w:rPr>
        <w:t>为</w:t>
      </w:r>
      <w:r>
        <w:rPr>
          <w:rFonts w:hint="default" w:cs="Times New Roman"/>
          <w:szCs w:val="24"/>
          <w:lang w:val="en-US" w:eastAsia="zh-CN"/>
        </w:rPr>
        <w:t>算标准状态体积</w:t>
      </w:r>
      <w:r>
        <w:rPr>
          <w:rFonts w:hint="eastAsia" w:cs="Times New Roman"/>
          <w:szCs w:val="24"/>
          <w:lang w:val="en-US" w:eastAsia="zh-CN"/>
        </w:rPr>
        <w:t>，</w:t>
      </w:r>
      <w:r>
        <w:rPr>
          <w:rFonts w:hint="default" w:cs="Times New Roman"/>
          <w:szCs w:val="24"/>
          <w:lang w:val="en-US" w:eastAsia="zh-CN"/>
        </w:rPr>
        <w:t>是环境监测数据具有可比性的科学基础。大气压力、温度影响气体密度，记录这些参数并将采样体积换算到标准状态（0℃，101.325 kPa），是所有空气污染物浓度计算的前提，确保了不同时间、地点数据的科学比较。</w:t>
      </w:r>
    </w:p>
    <w:p w14:paraId="21C229AE">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（3）教学日程关联性控制</w:t>
      </w:r>
    </w:p>
    <w:p w14:paraId="49E26BAD">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采样计划与实施应考虑课程表安排，宜在教学时段课间进行，以反映实际使用状态。若进行对比监测，应尽量保证前后采样时的学生活动、通风方式等条件相对一致。</w:t>
      </w:r>
    </w:p>
    <w:p w14:paraId="52740C25">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编制依据：</w:t>
      </w:r>
    </w:p>
    <w:p w14:paraId="676869FB">
      <w:pPr>
        <w:adjustRightInd w:val="0"/>
        <w:snapToGrid w:val="0"/>
        <w:spacing w:line="240" w:lineRule="auto"/>
        <w:ind w:firstLine="480" w:firstLineChars="200"/>
        <w:rPr>
          <w:rFonts w:hint="default" w:cs="Times New Roman"/>
          <w:szCs w:val="24"/>
          <w:lang w:val="en-US" w:eastAsia="zh-CN"/>
        </w:rPr>
      </w:pPr>
      <w:r>
        <w:rPr>
          <w:rFonts w:hint="default" w:cs="Times New Roman"/>
          <w:szCs w:val="24"/>
          <w:lang w:val="en-US" w:eastAsia="zh-CN"/>
        </w:rPr>
        <w:t>此</w:t>
      </w:r>
      <w:r>
        <w:rPr>
          <w:rFonts w:hint="eastAsia" w:cs="Times New Roman"/>
          <w:szCs w:val="24"/>
          <w:lang w:val="en-US" w:eastAsia="zh-CN"/>
        </w:rPr>
        <w:t>要求</w:t>
      </w:r>
      <w:r>
        <w:rPr>
          <w:rFonts w:hint="default" w:cs="Times New Roman"/>
          <w:szCs w:val="24"/>
          <w:lang w:val="en-US" w:eastAsia="zh-CN"/>
        </w:rPr>
        <w:t>是本</w:t>
      </w:r>
      <w:r>
        <w:rPr>
          <w:rFonts w:hint="eastAsia" w:cs="Times New Roman"/>
          <w:szCs w:val="24"/>
          <w:lang w:val="en-US" w:eastAsia="zh-CN"/>
        </w:rPr>
        <w:t>文件</w:t>
      </w:r>
      <w:r>
        <w:rPr>
          <w:rFonts w:hint="default" w:cs="Times New Roman"/>
          <w:szCs w:val="24"/>
          <w:lang w:val="en-US" w:eastAsia="zh-CN"/>
        </w:rPr>
        <w:t>场景化特色的集中体现，也是与通用标准的区别。教室内的病原体浓度直接与人员活动强度相关。在课间采样，能反映教学活动产生的气溶胶水平</w:t>
      </w:r>
      <w:r>
        <w:rPr>
          <w:rFonts w:hint="eastAsia" w:cs="Times New Roman"/>
          <w:szCs w:val="24"/>
          <w:lang w:val="en-US" w:eastAsia="zh-CN"/>
        </w:rPr>
        <w:t>。若进行</w:t>
      </w:r>
      <w:r>
        <w:rPr>
          <w:rFonts w:hint="default" w:cs="Times New Roman"/>
          <w:szCs w:val="24"/>
          <w:lang w:val="en-US" w:eastAsia="zh-CN"/>
        </w:rPr>
        <w:t>对比监测</w:t>
      </w:r>
      <w:r>
        <w:rPr>
          <w:rFonts w:hint="eastAsia" w:cs="Times New Roman"/>
          <w:szCs w:val="24"/>
          <w:lang w:val="en-US" w:eastAsia="zh-CN"/>
        </w:rPr>
        <w:t>，保证</w:t>
      </w:r>
      <w:r>
        <w:rPr>
          <w:rFonts w:hint="default" w:cs="Times New Roman"/>
          <w:szCs w:val="24"/>
          <w:lang w:val="en-US" w:eastAsia="zh-CN"/>
        </w:rPr>
        <w:t>学生活动、通风方式等条件一致，</w:t>
      </w:r>
      <w:r>
        <w:rPr>
          <w:rFonts w:hint="eastAsia" w:cs="Times New Roman"/>
          <w:szCs w:val="24"/>
          <w:lang w:val="en-US" w:eastAsia="zh-CN"/>
        </w:rPr>
        <w:t>可</w:t>
      </w:r>
      <w:r>
        <w:rPr>
          <w:rFonts w:hint="default" w:cs="Times New Roman"/>
          <w:szCs w:val="24"/>
          <w:lang w:val="en-US" w:eastAsia="zh-CN"/>
        </w:rPr>
        <w:t>真实反映出不同时期、不同措施（如消毒、通风改善）的</w:t>
      </w:r>
      <w:r>
        <w:rPr>
          <w:rFonts w:hint="eastAsia" w:cs="Times New Roman"/>
          <w:szCs w:val="24"/>
          <w:lang w:val="en-US" w:eastAsia="zh-CN"/>
        </w:rPr>
        <w:t>干预</w:t>
      </w:r>
      <w:r>
        <w:rPr>
          <w:rFonts w:hint="default" w:cs="Times New Roman"/>
          <w:szCs w:val="24"/>
          <w:lang w:val="en-US" w:eastAsia="zh-CN"/>
        </w:rPr>
        <w:t>效果，提升了</w:t>
      </w:r>
      <w:r>
        <w:rPr>
          <w:rFonts w:hint="eastAsia" w:cs="Times New Roman"/>
          <w:szCs w:val="24"/>
          <w:lang w:val="en-US" w:eastAsia="zh-CN"/>
        </w:rPr>
        <w:t>采样监测</w:t>
      </w:r>
      <w:r>
        <w:rPr>
          <w:rFonts w:hint="default" w:cs="Times New Roman"/>
          <w:szCs w:val="24"/>
          <w:lang w:val="en-US" w:eastAsia="zh-CN"/>
        </w:rPr>
        <w:t>数据的科学价值。</w:t>
      </w:r>
    </w:p>
    <w:p w14:paraId="40F8F202">
      <w:pPr>
        <w:pStyle w:val="4"/>
        <w:bidi w:val="0"/>
        <w:rPr>
          <w:rFonts w:hint="default" w:cs="Times New Roman"/>
          <w:lang w:val="en-US" w:eastAsia="zh-CN"/>
        </w:rPr>
      </w:pPr>
      <w:bookmarkStart w:id="167" w:name="_Toc9731"/>
      <w:bookmarkStart w:id="168" w:name="_Toc10670"/>
      <w:bookmarkStart w:id="169" w:name="_Toc14958"/>
      <w:r>
        <w:rPr>
          <w:rFonts w:hint="default" w:cs="Times New Roman"/>
          <w:lang w:val="en-US" w:eastAsia="zh-CN"/>
        </w:rPr>
        <w:t>10.采样记录与报告</w:t>
      </w:r>
      <w:bookmarkEnd w:id="167"/>
      <w:bookmarkEnd w:id="168"/>
      <w:bookmarkEnd w:id="169"/>
    </w:p>
    <w:p w14:paraId="4788BBB5">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（1）</w:t>
      </w:r>
      <w:r>
        <w:rPr>
          <w:rFonts w:hint="default" w:cs="Times New Roman"/>
          <w:szCs w:val="24"/>
          <w:lang w:val="en-US" w:eastAsia="zh-CN"/>
        </w:rPr>
        <w:t>采样记录内容</w:t>
      </w:r>
    </w:p>
    <w:p w14:paraId="23FD245A">
      <w:pPr>
        <w:adjustRightInd w:val="0"/>
        <w:snapToGrid w:val="0"/>
        <w:spacing w:line="240" w:lineRule="auto"/>
        <w:ind w:firstLine="480" w:firstLineChars="200"/>
        <w:rPr>
          <w:rFonts w:hint="default" w:cs="Times New Roman"/>
          <w:szCs w:val="24"/>
          <w:lang w:val="en-US" w:eastAsia="zh-CN"/>
        </w:rPr>
      </w:pPr>
      <w:r>
        <w:rPr>
          <w:rFonts w:hint="default" w:cs="Times New Roman"/>
          <w:szCs w:val="24"/>
          <w:lang w:val="en-US" w:eastAsia="zh-CN"/>
        </w:rPr>
        <w:t>除样本基本信息外，应详细记录采样教室的编号、面积、学生实时人数、采样时段的课程活动、门窗启闭状态、室内独立通风设备（如风扇、空气净化器）的运行情况。环境参数应至少包含温度、相对湿度、CO</w:t>
      </w:r>
      <w:r>
        <w:rPr>
          <w:rFonts w:hint="default" w:cs="Times New Roman"/>
          <w:szCs w:val="24"/>
          <w:vertAlign w:val="subscript"/>
          <w:lang w:val="en-US" w:eastAsia="zh-CN"/>
        </w:rPr>
        <w:t>2</w:t>
      </w:r>
      <w:r>
        <w:rPr>
          <w:rFonts w:hint="default" w:cs="Times New Roman"/>
          <w:szCs w:val="24"/>
          <w:lang w:val="en-US" w:eastAsia="zh-CN"/>
        </w:rPr>
        <w:t>浓度和PM</w:t>
      </w:r>
      <w:r>
        <w:rPr>
          <w:rFonts w:hint="default" w:cs="Times New Roman"/>
          <w:szCs w:val="24"/>
          <w:vertAlign w:val="subscript"/>
          <w:lang w:val="en-US" w:eastAsia="zh-CN"/>
        </w:rPr>
        <w:t>2.5</w:t>
      </w:r>
      <w:r>
        <w:rPr>
          <w:rFonts w:hint="default" w:cs="Times New Roman"/>
          <w:szCs w:val="24"/>
          <w:lang w:val="en-US" w:eastAsia="zh-CN"/>
        </w:rPr>
        <w:t>浓度。可参考GB/T 38517 资料性附录B。</w:t>
      </w:r>
    </w:p>
    <w:p w14:paraId="29D627C5">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编制依据：</w:t>
      </w:r>
    </w:p>
    <w:p w14:paraId="610B97D3">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在传统样本信息基础上，要求记录学生实时人数、课程活动、通风设备运行状态，这些是解读病原体浓度数据的关键解释变量，因此需要进行记录。</w:t>
      </w:r>
    </w:p>
    <w:p w14:paraId="359C164B">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要求记录CO</w:t>
      </w:r>
      <w:r>
        <w:rPr>
          <w:rFonts w:hint="eastAsia" w:cs="Times New Roman"/>
          <w:szCs w:val="24"/>
          <w:vertAlign w:val="subscript"/>
          <w:lang w:val="en-US" w:eastAsia="zh-CN"/>
        </w:rPr>
        <w:t>2</w:t>
      </w:r>
      <w:r>
        <w:rPr>
          <w:rFonts w:hint="eastAsia" w:cs="Times New Roman"/>
          <w:szCs w:val="24"/>
          <w:lang w:val="en-US" w:eastAsia="zh-CN"/>
        </w:rPr>
        <w:t>浓度，是因为在教室场景下，CO</w:t>
      </w:r>
      <w:r>
        <w:rPr>
          <w:rFonts w:hint="eastAsia" w:cs="Times New Roman"/>
          <w:szCs w:val="24"/>
          <w:vertAlign w:val="subscript"/>
          <w:lang w:val="en-US" w:eastAsia="zh-CN"/>
        </w:rPr>
        <w:t>2</w:t>
      </w:r>
      <w:r>
        <w:rPr>
          <w:rFonts w:hint="eastAsia" w:cs="Times New Roman"/>
          <w:szCs w:val="24"/>
          <w:lang w:val="en-US" w:eastAsia="zh-CN"/>
        </w:rPr>
        <w:t>是评价通风效果和人员密集度的核心指标，与感染风险高度相关。提示参考GB/T 38517附录B，是为了提供规范化的记录格式范例，提升记录的标准化水平。</w:t>
      </w:r>
    </w:p>
    <w:p w14:paraId="15F3BA4B">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（2）采样</w:t>
      </w:r>
      <w:r>
        <w:rPr>
          <w:rFonts w:hint="default" w:cs="Times New Roman"/>
          <w:szCs w:val="24"/>
          <w:lang w:val="en-US" w:eastAsia="zh-CN"/>
        </w:rPr>
        <w:t>报告</w:t>
      </w:r>
      <w:r>
        <w:rPr>
          <w:rFonts w:hint="eastAsia" w:cs="Times New Roman"/>
          <w:szCs w:val="24"/>
          <w:lang w:val="en-US" w:eastAsia="zh-CN"/>
        </w:rPr>
        <w:t>的自动</w:t>
      </w:r>
      <w:r>
        <w:rPr>
          <w:rFonts w:hint="default" w:cs="Times New Roman"/>
          <w:szCs w:val="24"/>
          <w:lang w:val="en-US" w:eastAsia="zh-CN"/>
        </w:rPr>
        <w:t>生成</w:t>
      </w:r>
    </w:p>
    <w:p w14:paraId="1B8DCF2C">
      <w:pPr>
        <w:adjustRightInd w:val="0"/>
        <w:snapToGrid w:val="0"/>
        <w:spacing w:line="240" w:lineRule="auto"/>
        <w:ind w:firstLine="480" w:firstLineChars="200"/>
        <w:rPr>
          <w:rFonts w:hint="default" w:cs="Times New Roman"/>
          <w:szCs w:val="24"/>
          <w:lang w:val="en-US" w:eastAsia="zh-CN"/>
        </w:rPr>
      </w:pPr>
      <w:r>
        <w:rPr>
          <w:rFonts w:hint="default" w:cs="Times New Roman"/>
          <w:szCs w:val="24"/>
          <w:lang w:val="en-US" w:eastAsia="zh-CN"/>
        </w:rPr>
        <w:t>鼓励利用智能平台整合采样记录数据，自动生成包含采样点位信息、编号信息、学生因病缺勤记录、实时环境感知数据、采样数据列表等采样记录内容的标准化报告。</w:t>
      </w:r>
    </w:p>
    <w:p w14:paraId="6FB9C6F6">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编制依据：</w:t>
      </w:r>
    </w:p>
    <w:p w14:paraId="58E64E73">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鼓励利用平台自动生成报告和趋势图表，是智能采样系统的终极需求。能将海量数据转化为直观信息，并能自动生成采样记录报告，是避免人工误差、提升原始采样记录效率的重要功能。</w:t>
      </w:r>
    </w:p>
    <w:bookmarkEnd w:id="120"/>
    <w:bookmarkEnd w:id="121"/>
    <w:bookmarkEnd w:id="122"/>
    <w:bookmarkEnd w:id="142"/>
    <w:p w14:paraId="428E6407">
      <w:pPr>
        <w:pStyle w:val="3"/>
        <w:spacing w:before="156" w:after="156" w:line="240" w:lineRule="auto"/>
        <w:ind w:firstLine="482"/>
        <w:rPr>
          <w:rFonts w:hint="default" w:cs="Times New Roman"/>
        </w:rPr>
      </w:pPr>
      <w:bookmarkStart w:id="170" w:name="_Toc4034"/>
      <w:bookmarkStart w:id="171" w:name="_Toc12008"/>
      <w:bookmarkStart w:id="172" w:name="_Toc25667"/>
      <w:bookmarkStart w:id="173" w:name="_Toc93656997"/>
      <w:bookmarkStart w:id="174" w:name="_Toc23058"/>
      <w:bookmarkStart w:id="175" w:name="_Toc9145"/>
      <w:bookmarkStart w:id="176" w:name="_Toc23097"/>
      <w:bookmarkStart w:id="177" w:name="_Toc16465"/>
      <w:bookmarkStart w:id="178" w:name="_Toc7059"/>
      <w:bookmarkStart w:id="179" w:name="_Toc69553244"/>
      <w:bookmarkStart w:id="180" w:name="_Toc24427"/>
      <w:bookmarkStart w:id="181" w:name="_Toc30137"/>
      <w:bookmarkStart w:id="182" w:name="_Toc31391"/>
      <w:bookmarkStart w:id="183" w:name="_Toc17897"/>
      <w:bookmarkStart w:id="184" w:name="_Toc25380"/>
      <w:bookmarkStart w:id="185" w:name="_Toc67407053"/>
      <w:bookmarkStart w:id="186" w:name="_Toc14191"/>
      <w:bookmarkStart w:id="187" w:name="_Toc25511"/>
      <w:bookmarkStart w:id="188" w:name="_Toc42598938"/>
      <w:r>
        <w:rPr>
          <w:rFonts w:hint="default" w:cs="Times New Roman"/>
        </w:rPr>
        <w:t>（</w:t>
      </w:r>
      <w:r>
        <w:rPr>
          <w:rFonts w:hint="default" w:cs="Times New Roman"/>
          <w:lang w:val="en-US" w:eastAsia="zh-CN"/>
        </w:rPr>
        <w:t>二</w:t>
      </w:r>
      <w:r>
        <w:rPr>
          <w:rFonts w:hint="default" w:cs="Times New Roman"/>
        </w:rPr>
        <w:t>）主要验证报告</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5F8871BE">
      <w:pPr>
        <w:adjustRightInd w:val="0"/>
        <w:snapToGrid w:val="0"/>
        <w:spacing w:line="240" w:lineRule="auto"/>
        <w:ind w:firstLine="480" w:firstLineChars="200"/>
        <w:rPr>
          <w:rFonts w:hint="eastAsia" w:cs="Times New Roman"/>
          <w:szCs w:val="24"/>
          <w:lang w:val="en-US" w:eastAsia="zh-CN"/>
        </w:rPr>
      </w:pPr>
      <w:r>
        <w:rPr>
          <w:rFonts w:hint="eastAsia" w:cs="Times New Roman"/>
          <w:szCs w:val="24"/>
          <w:lang w:val="en-US" w:eastAsia="zh-CN"/>
        </w:rPr>
        <w:t>为验证液体气旋采样的科学性，编制组于2024年，在安徽省合肥市开展了大流量液体气旋采样技术的现场验证实验。实验现场对比了三种液体气旋采样设备，验证了该技术在学校教室场景应用的可行性、准确性和稳定性。</w:t>
      </w:r>
    </w:p>
    <w:p w14:paraId="57A07FBF">
      <w:pPr>
        <w:adjustRightInd w:val="0"/>
        <w:snapToGrid w:val="0"/>
        <w:spacing w:line="240" w:lineRule="auto"/>
        <w:ind w:firstLine="480" w:firstLineChars="200"/>
        <w:rPr>
          <w:rFonts w:hint="default" w:cs="Times New Roman"/>
          <w:szCs w:val="24"/>
          <w:lang w:val="en-US" w:eastAsia="zh-CN"/>
        </w:rPr>
      </w:pPr>
      <w:r>
        <w:rPr>
          <w:rFonts w:hint="eastAsia" w:cs="Times New Roman"/>
          <w:szCs w:val="24"/>
          <w:lang w:val="en-US" w:eastAsia="zh-CN"/>
        </w:rPr>
        <w:t>评估了大流量、LS和SKC三种基于液体气旋采样法的设备对教室空气气溶胶的细菌总数、真菌总数两个参数的相同时空节点的同步采样数据，结果发现液体气旋采样法对空气气溶胶中的微生物检测具有较好的采样可行性，对高浓度样品的采样可行性存在一定差异。液体气旋采样法稳定性较好，不易受季节影响；</w:t>
      </w:r>
      <w:r>
        <w:rPr>
          <w:rFonts w:hint="eastAsia" w:ascii="Times New Roman" w:hAnsi="Times New Roman" w:eastAsia="仿宋" w:cs="Times New Roman"/>
          <w:sz w:val="24"/>
          <w:szCs w:val="24"/>
          <w:lang w:val="en-US" w:eastAsia="zh-CN"/>
        </w:rPr>
        <w:t>对于流量&gt;300L/min的设备，其实现快速、低成本采样方面具备较大优势。</w:t>
      </w:r>
      <w:r>
        <w:rPr>
          <w:rFonts w:hint="eastAsia" w:cs="Times New Roman"/>
          <w:szCs w:val="24"/>
          <w:lang w:val="en-US" w:eastAsia="zh-CN"/>
        </w:rPr>
        <w:t>评估报告详见附件。</w:t>
      </w:r>
    </w:p>
    <w:bookmarkEnd w:id="95"/>
    <w:bookmarkEnd w:id="96"/>
    <w:bookmarkEnd w:id="97"/>
    <w:bookmarkEnd w:id="188"/>
    <w:p w14:paraId="6943BEFE">
      <w:pPr>
        <w:pStyle w:val="2"/>
        <w:spacing w:before="0" w:after="0"/>
        <w:rPr>
          <w:rFonts w:hint="eastAsia"/>
          <w:sz w:val="28"/>
        </w:rPr>
      </w:pPr>
      <w:bookmarkStart w:id="189" w:name="_Toc757"/>
      <w:bookmarkStart w:id="190" w:name="_Toc19783"/>
      <w:bookmarkStart w:id="191" w:name="_Toc31950"/>
      <w:bookmarkStart w:id="192" w:name="_Toc69553264"/>
      <w:bookmarkStart w:id="193" w:name="_Toc67407060"/>
      <w:bookmarkStart w:id="194" w:name="_Toc22156"/>
      <w:bookmarkStart w:id="195" w:name="_Toc1943"/>
      <w:bookmarkStart w:id="196" w:name="_Toc28341"/>
      <w:bookmarkStart w:id="197" w:name="_Toc9485"/>
      <w:bookmarkStart w:id="198" w:name="_Toc21668"/>
      <w:bookmarkStart w:id="199" w:name="_Toc19309"/>
      <w:bookmarkStart w:id="200" w:name="_Toc436"/>
      <w:bookmarkStart w:id="201" w:name="_Toc14271"/>
      <w:bookmarkStart w:id="202" w:name="_Toc21228"/>
      <w:bookmarkStart w:id="203" w:name="_Toc3441"/>
      <w:bookmarkStart w:id="204" w:name="_Toc23416"/>
      <w:bookmarkStart w:id="205" w:name="_Toc3962"/>
      <w:bookmarkStart w:id="206" w:name="_Toc93656998"/>
      <w:r>
        <w:rPr>
          <w:rFonts w:hint="eastAsia"/>
          <w:sz w:val="28"/>
          <w:lang w:val="en-US" w:eastAsia="zh-CN"/>
        </w:rPr>
        <w:t>六</w:t>
      </w:r>
      <w:r>
        <w:rPr>
          <w:rFonts w:hint="eastAsia"/>
          <w:sz w:val="28"/>
        </w:rPr>
        <w:t>、</w:t>
      </w:r>
      <w:r>
        <w:rPr>
          <w:rFonts w:hint="eastAsia"/>
          <w:sz w:val="28"/>
          <w:lang w:val="en-US" w:eastAsia="zh-CN"/>
        </w:rPr>
        <w:t>征求意见和采纳情况、不采纳意见的理由</w:t>
      </w:r>
      <w:bookmarkEnd w:id="189"/>
      <w:bookmarkEnd w:id="190"/>
      <w:bookmarkEnd w:id="191"/>
    </w:p>
    <w:p w14:paraId="04F41A1B">
      <w:pPr>
        <w:adjustRightInd w:val="0"/>
        <w:snapToGrid w:val="0"/>
        <w:spacing w:line="240" w:lineRule="auto"/>
        <w:ind w:firstLine="480" w:firstLineChars="200"/>
        <w:rPr>
          <w:rFonts w:hint="eastAsia" w:cs="Times New Roman"/>
          <w:szCs w:val="24"/>
        </w:rPr>
      </w:pPr>
      <w:r>
        <w:rPr>
          <w:rFonts w:hint="eastAsia" w:cs="Times New Roman"/>
          <w:szCs w:val="24"/>
        </w:rPr>
        <w:t>202</w:t>
      </w:r>
      <w:r>
        <w:rPr>
          <w:rFonts w:hint="eastAsia" w:cs="Times New Roman"/>
          <w:szCs w:val="24"/>
          <w:lang w:val="en-US" w:eastAsia="zh-CN"/>
        </w:rPr>
        <w:t>6</w:t>
      </w:r>
      <w:r>
        <w:rPr>
          <w:rFonts w:hint="eastAsia" w:cs="Times New Roman"/>
          <w:szCs w:val="24"/>
        </w:rPr>
        <w:t>年</w:t>
      </w:r>
      <w:r>
        <w:rPr>
          <w:rFonts w:hint="eastAsia" w:cs="Times New Roman"/>
          <w:szCs w:val="24"/>
          <w:lang w:val="en-US" w:eastAsia="zh-CN"/>
        </w:rPr>
        <w:t>4</w:t>
      </w:r>
      <w:r>
        <w:rPr>
          <w:rFonts w:hint="eastAsia" w:cs="Times New Roman"/>
          <w:szCs w:val="24"/>
        </w:rPr>
        <w:t>月至</w:t>
      </w:r>
      <w:r>
        <w:rPr>
          <w:rFonts w:hint="eastAsia" w:cs="Times New Roman"/>
          <w:szCs w:val="24"/>
          <w:lang w:val="en-US" w:eastAsia="zh-CN"/>
        </w:rPr>
        <w:t>5</w:t>
      </w:r>
      <w:r>
        <w:rPr>
          <w:rFonts w:hint="eastAsia" w:cs="Times New Roman"/>
          <w:szCs w:val="24"/>
        </w:rPr>
        <w:t>月，标准编制组以公开挂网和邮件的方式广泛公开地征求了意见，共征求了</w:t>
      </w:r>
      <w:r>
        <w:rPr>
          <w:rFonts w:hint="eastAsia" w:cs="Times New Roman"/>
          <w:szCs w:val="24"/>
          <w:lang w:val="en-US" w:eastAsia="zh-CN"/>
        </w:rPr>
        <w:t xml:space="preserve"> </w:t>
      </w:r>
      <w:r>
        <w:rPr>
          <w:rFonts w:hint="eastAsia" w:cs="Times New Roman"/>
          <w:szCs w:val="24"/>
        </w:rPr>
        <w:t>家单位和</w:t>
      </w:r>
      <w:r>
        <w:rPr>
          <w:rFonts w:hint="eastAsia" w:cs="Times New Roman"/>
          <w:szCs w:val="24"/>
          <w:lang w:val="en-US" w:eastAsia="zh-CN"/>
        </w:rPr>
        <w:t xml:space="preserve"> </w:t>
      </w:r>
      <w:r>
        <w:rPr>
          <w:rFonts w:hint="eastAsia" w:cs="Times New Roman"/>
          <w:szCs w:val="24"/>
        </w:rPr>
        <w:t>位个人的意见，收到回函</w:t>
      </w:r>
      <w:r>
        <w:rPr>
          <w:rFonts w:hint="eastAsia" w:cs="Times New Roman"/>
          <w:szCs w:val="24"/>
          <w:lang w:val="en-US" w:eastAsia="zh-CN"/>
        </w:rPr>
        <w:t xml:space="preserve"> </w:t>
      </w:r>
      <w:r>
        <w:rPr>
          <w:rFonts w:hint="eastAsia" w:cs="Times New Roman"/>
          <w:szCs w:val="24"/>
        </w:rPr>
        <w:t>份，其中有意见</w:t>
      </w:r>
      <w:r>
        <w:rPr>
          <w:rFonts w:hint="eastAsia" w:cs="Times New Roman"/>
          <w:szCs w:val="24"/>
          <w:lang w:val="en-US" w:eastAsia="zh-CN"/>
        </w:rPr>
        <w:t xml:space="preserve"> </w:t>
      </w:r>
      <w:r>
        <w:rPr>
          <w:rFonts w:hint="eastAsia" w:cs="Times New Roman"/>
          <w:szCs w:val="24"/>
        </w:rPr>
        <w:t>份共</w:t>
      </w:r>
      <w:r>
        <w:rPr>
          <w:rFonts w:hint="eastAsia" w:cs="Times New Roman"/>
          <w:szCs w:val="24"/>
          <w:lang w:val="en-US" w:eastAsia="zh-CN"/>
        </w:rPr>
        <w:t xml:space="preserve"> </w:t>
      </w:r>
      <w:r>
        <w:rPr>
          <w:rFonts w:hint="eastAsia" w:cs="Times New Roman"/>
          <w:szCs w:val="24"/>
        </w:rPr>
        <w:t>条，已采纳意见</w:t>
      </w:r>
      <w:r>
        <w:rPr>
          <w:rFonts w:hint="eastAsia" w:cs="Times New Roman"/>
          <w:szCs w:val="24"/>
          <w:lang w:val="en-US" w:eastAsia="zh-CN"/>
        </w:rPr>
        <w:t xml:space="preserve"> </w:t>
      </w:r>
      <w:r>
        <w:rPr>
          <w:rFonts w:hint="eastAsia" w:cs="Times New Roman"/>
          <w:szCs w:val="24"/>
        </w:rPr>
        <w:t>条，部分采纳意见</w:t>
      </w:r>
      <w:r>
        <w:rPr>
          <w:rFonts w:hint="eastAsia" w:cs="Times New Roman"/>
          <w:szCs w:val="24"/>
          <w:lang w:val="en-US" w:eastAsia="zh-CN"/>
        </w:rPr>
        <w:t xml:space="preserve"> </w:t>
      </w:r>
      <w:r>
        <w:rPr>
          <w:rFonts w:hint="eastAsia" w:cs="Times New Roman"/>
          <w:szCs w:val="24"/>
        </w:rPr>
        <w:t>条，未采纳意见</w:t>
      </w:r>
      <w:r>
        <w:rPr>
          <w:rFonts w:hint="eastAsia" w:cs="Times New Roman"/>
          <w:szCs w:val="24"/>
          <w:lang w:val="en-US" w:eastAsia="zh-CN"/>
        </w:rPr>
        <w:t xml:space="preserve"> </w:t>
      </w:r>
      <w:r>
        <w:rPr>
          <w:rFonts w:hint="eastAsia" w:cs="Times New Roman"/>
          <w:szCs w:val="24"/>
        </w:rPr>
        <w:t>条；无意见</w:t>
      </w:r>
      <w:r>
        <w:rPr>
          <w:rFonts w:hint="eastAsia" w:cs="Times New Roman"/>
          <w:szCs w:val="24"/>
          <w:lang w:val="en-US" w:eastAsia="zh-CN"/>
        </w:rPr>
        <w:t xml:space="preserve"> </w:t>
      </w:r>
      <w:r>
        <w:rPr>
          <w:rFonts w:hint="eastAsia" w:cs="Times New Roman"/>
          <w:szCs w:val="24"/>
        </w:rPr>
        <w:t>份。</w:t>
      </w:r>
    </w:p>
    <w:p w14:paraId="5D97CB79">
      <w:pPr>
        <w:pStyle w:val="2"/>
        <w:spacing w:before="0" w:after="0"/>
        <w:rPr>
          <w:sz w:val="28"/>
        </w:rPr>
      </w:pPr>
      <w:bookmarkStart w:id="207" w:name="_Toc26743"/>
      <w:bookmarkStart w:id="208" w:name="_Toc12011"/>
      <w:bookmarkStart w:id="209" w:name="_Toc11610"/>
      <w:r>
        <w:rPr>
          <w:rFonts w:hint="eastAsia"/>
          <w:sz w:val="28"/>
          <w:lang w:val="en-US" w:eastAsia="zh-CN"/>
        </w:rPr>
        <w:t>七、</w:t>
      </w:r>
      <w:r>
        <w:rPr>
          <w:rFonts w:hint="eastAsia"/>
          <w:sz w:val="28"/>
        </w:rPr>
        <w:t>重大分歧意见的处理</w:t>
      </w:r>
      <w:r>
        <w:rPr>
          <w:rFonts w:hint="eastAsia"/>
          <w:sz w:val="28"/>
          <w:lang w:val="en-US" w:eastAsia="zh-CN"/>
        </w:rPr>
        <w:t>结果和</w:t>
      </w:r>
      <w:r>
        <w:rPr>
          <w:rFonts w:hint="eastAsia"/>
          <w:sz w:val="28"/>
        </w:rPr>
        <w:t>依</w:t>
      </w:r>
      <w:bookmarkEnd w:id="192"/>
      <w:bookmarkEnd w:id="193"/>
      <w:r>
        <w:rPr>
          <w:rFonts w:hint="eastAsia"/>
          <w:sz w:val="28"/>
        </w:rPr>
        <w:t>据</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0A9C7589">
      <w:pPr>
        <w:adjustRightInd w:val="0"/>
        <w:snapToGrid w:val="0"/>
        <w:spacing w:line="240" w:lineRule="auto"/>
        <w:ind w:firstLine="480" w:firstLineChars="200"/>
        <w:rPr>
          <w:rFonts w:cs="Times New Roman"/>
          <w:szCs w:val="24"/>
        </w:rPr>
      </w:pPr>
      <w:r>
        <w:rPr>
          <w:rFonts w:hint="eastAsia" w:cs="Times New Roman"/>
          <w:szCs w:val="24"/>
        </w:rPr>
        <w:t>在征求意见和会审过程中，没有重大分歧。</w:t>
      </w:r>
      <w:bookmarkStart w:id="210" w:name="_Toc67407061"/>
      <w:bookmarkStart w:id="211" w:name="_Toc69553265"/>
    </w:p>
    <w:p w14:paraId="53D78776">
      <w:pPr>
        <w:adjustRightInd w:val="0"/>
        <w:snapToGrid w:val="0"/>
        <w:spacing w:line="240" w:lineRule="auto"/>
        <w:rPr>
          <w:rFonts w:cs="Times New Roman"/>
          <w:szCs w:val="24"/>
        </w:rPr>
      </w:pPr>
    </w:p>
    <w:p w14:paraId="2F95C0FE">
      <w:pPr>
        <w:pStyle w:val="2"/>
        <w:spacing w:before="0" w:after="0"/>
        <w:rPr>
          <w:rFonts w:hint="eastAsia"/>
          <w:sz w:val="28"/>
        </w:rPr>
      </w:pPr>
      <w:bookmarkStart w:id="212" w:name="_Toc28466"/>
      <w:bookmarkStart w:id="213" w:name="_Toc2764"/>
      <w:bookmarkStart w:id="214" w:name="_Toc24832"/>
      <w:bookmarkStart w:id="215" w:name="_Toc27805"/>
      <w:bookmarkStart w:id="216" w:name="_Toc26503"/>
      <w:bookmarkStart w:id="217" w:name="_Toc3979"/>
      <w:bookmarkStart w:id="218" w:name="_Toc18829"/>
      <w:r>
        <w:rPr>
          <w:rFonts w:hint="eastAsia"/>
          <w:sz w:val="28"/>
          <w:lang w:val="en-US" w:eastAsia="zh-CN"/>
        </w:rPr>
        <w:t>八</w:t>
      </w:r>
      <w:r>
        <w:rPr>
          <w:rFonts w:hint="eastAsia"/>
          <w:sz w:val="28"/>
        </w:rPr>
        <w:t>、</w:t>
      </w:r>
      <w:bookmarkEnd w:id="212"/>
      <w:bookmarkEnd w:id="213"/>
      <w:bookmarkEnd w:id="214"/>
      <w:bookmarkEnd w:id="215"/>
      <w:r>
        <w:rPr>
          <w:rFonts w:hint="eastAsia"/>
          <w:sz w:val="28"/>
        </w:rPr>
        <w:t>根据需要提出实施标准的建议</w:t>
      </w:r>
      <w:bookmarkEnd w:id="216"/>
      <w:bookmarkEnd w:id="217"/>
      <w:bookmarkEnd w:id="218"/>
    </w:p>
    <w:p w14:paraId="523CAC26">
      <w:pPr>
        <w:adjustRightInd w:val="0"/>
        <w:snapToGrid w:val="0"/>
        <w:spacing w:line="240" w:lineRule="auto"/>
        <w:ind w:firstLine="480" w:firstLineChars="200"/>
        <w:rPr>
          <w:rFonts w:cs="Times New Roman"/>
          <w:szCs w:val="24"/>
          <w:highlight w:val="none"/>
        </w:rPr>
      </w:pPr>
      <w:r>
        <w:rPr>
          <w:rFonts w:hint="eastAsia" w:cs="Times New Roman"/>
          <w:szCs w:val="24"/>
          <w:highlight w:val="none"/>
        </w:rPr>
        <w:t>实施本标准不涉及技术改造、成本投入、老旧产品等。本文件建议发布后六个月实施。本文件需要使用单位有充分的过渡期，应对相关人员进行标准解读、宣贯培训，建议发布后6个月实施。</w:t>
      </w:r>
    </w:p>
    <w:p w14:paraId="70BAE7AE">
      <w:pPr>
        <w:adjustRightInd w:val="0"/>
        <w:snapToGrid w:val="0"/>
        <w:spacing w:line="240" w:lineRule="auto"/>
        <w:ind w:firstLine="480" w:firstLineChars="200"/>
        <w:rPr>
          <w:rFonts w:cs="Times New Roman"/>
          <w:szCs w:val="24"/>
        </w:rPr>
      </w:pPr>
      <w:bookmarkStart w:id="219" w:name="_Toc11846"/>
      <w:bookmarkStart w:id="220" w:name="_Toc21649"/>
      <w:bookmarkStart w:id="221" w:name="_Toc31051"/>
      <w:bookmarkStart w:id="222" w:name="_Toc93657002"/>
      <w:bookmarkStart w:id="223" w:name="_Toc19881"/>
      <w:bookmarkStart w:id="224" w:name="_Toc6785"/>
      <w:bookmarkStart w:id="225" w:name="_Toc26732"/>
      <w:bookmarkStart w:id="226" w:name="_Toc14905"/>
      <w:bookmarkStart w:id="227" w:name="_Toc6556"/>
    </w:p>
    <w:p w14:paraId="75F7E446">
      <w:pPr>
        <w:pStyle w:val="2"/>
        <w:spacing w:before="0" w:after="0"/>
        <w:rPr>
          <w:sz w:val="28"/>
        </w:rPr>
      </w:pPr>
      <w:bookmarkStart w:id="228" w:name="_Toc28963"/>
      <w:bookmarkStart w:id="229" w:name="_Toc28818"/>
      <w:bookmarkStart w:id="230" w:name="_Toc28501"/>
      <w:bookmarkStart w:id="231" w:name="_Toc31760"/>
      <w:bookmarkStart w:id="232" w:name="_Toc19930"/>
      <w:bookmarkStart w:id="233" w:name="_Toc14330"/>
      <w:bookmarkStart w:id="234" w:name="_Toc9736"/>
      <w:r>
        <w:rPr>
          <w:rFonts w:hint="eastAsia"/>
          <w:sz w:val="28"/>
          <w:lang w:val="en-US" w:eastAsia="zh-CN"/>
        </w:rPr>
        <w:t>九</w:t>
      </w:r>
      <w:r>
        <w:rPr>
          <w:rFonts w:hint="eastAsia"/>
          <w:sz w:val="28"/>
        </w:rPr>
        <w:t>、其他应予说明的事项</w:t>
      </w:r>
      <w:bookmarkEnd w:id="210"/>
      <w:bookmarkEnd w:id="211"/>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2E2303D2">
      <w:pPr>
        <w:adjustRightInd w:val="0"/>
        <w:snapToGrid w:val="0"/>
        <w:spacing w:line="240" w:lineRule="auto"/>
        <w:ind w:firstLine="480" w:firstLineChars="200"/>
        <w:rPr>
          <w:rFonts w:cs="Times New Roman"/>
          <w:szCs w:val="24"/>
        </w:rPr>
      </w:pPr>
      <w:r>
        <w:rPr>
          <w:rFonts w:hint="eastAsia" w:cs="Times New Roman"/>
          <w:szCs w:val="24"/>
        </w:rPr>
        <w:t>无。</w:t>
      </w:r>
      <w:bookmarkStart w:id="235" w:name="_Toc93657003"/>
    </w:p>
    <w:p w14:paraId="785C11AB">
      <w:pPr>
        <w:pStyle w:val="46"/>
        <w:spacing w:line="288" w:lineRule="auto"/>
        <w:ind w:firstLine="0" w:firstLineChars="0"/>
        <w:jc w:val="left"/>
        <w:rPr>
          <w:rFonts w:ascii="Times New Roman" w:hAnsi="Times New Roman"/>
        </w:rPr>
      </w:pPr>
    </w:p>
    <w:p w14:paraId="382F6065">
      <w:pPr>
        <w:pStyle w:val="46"/>
        <w:ind w:firstLine="400"/>
        <w:jc w:val="left"/>
        <w:rPr>
          <w:rFonts w:ascii="Times New Roman" w:hAnsi="Times New Roman"/>
        </w:rPr>
        <w:sectPr>
          <w:footerReference r:id="rId8" w:type="default"/>
          <w:footnotePr>
            <w:numFmt w:val="decimal"/>
          </w:footnotePr>
          <w:type w:val="continuous"/>
          <w:pgSz w:w="11906" w:h="16838"/>
          <w:pgMar w:top="1440" w:right="1800" w:bottom="1440" w:left="1800" w:header="851" w:footer="992" w:gutter="0"/>
          <w:pgNumType w:start="1"/>
          <w:cols w:space="425" w:num="1"/>
          <w:docGrid w:type="lines" w:linePitch="312" w:charSpace="0"/>
        </w:sectPr>
      </w:pPr>
    </w:p>
    <w:bookmarkEnd w:id="235"/>
    <w:p w14:paraId="5686520A">
      <w:pPr>
        <w:tabs>
          <w:tab w:val="left" w:pos="630"/>
        </w:tabs>
        <w:snapToGrid w:val="0"/>
        <w:spacing w:line="240" w:lineRule="auto"/>
        <w:rPr>
          <w:rFonts w:hint="eastAsia" w:cs="Times New Roman"/>
          <w:sz w:val="24"/>
          <w:szCs w:val="24"/>
          <w:lang w:val="en-US" w:eastAsia="zh-CN"/>
        </w:rPr>
      </w:pPr>
      <w:r>
        <w:rPr>
          <w:rFonts w:hint="eastAsia" w:cs="Times New Roman"/>
          <w:sz w:val="24"/>
          <w:szCs w:val="24"/>
          <w:lang w:val="en-US" w:eastAsia="zh-CN"/>
        </w:rPr>
        <w:t>附件：基于三种液体气旋采样设备的教室空气微生物采样效能验证报告</w:t>
      </w:r>
    </w:p>
    <w:p w14:paraId="76D3B10A">
      <w:pPr>
        <w:tabs>
          <w:tab w:val="left" w:pos="630"/>
        </w:tabs>
        <w:snapToGrid w:val="0"/>
        <w:spacing w:line="240" w:lineRule="auto"/>
        <w:rPr>
          <w:rFonts w:hint="eastAsia" w:cs="Times New Roman"/>
          <w:sz w:val="20"/>
          <w:szCs w:val="20"/>
          <w:lang w:val="en-US" w:eastAsia="zh-CN"/>
        </w:rPr>
        <w:sectPr>
          <w:headerReference r:id="rId11" w:type="first"/>
          <w:footerReference r:id="rId14" w:type="first"/>
          <w:headerReference r:id="rId9" w:type="default"/>
          <w:footerReference r:id="rId12" w:type="default"/>
          <w:headerReference r:id="rId10" w:type="even"/>
          <w:footerReference r:id="rId13" w:type="even"/>
          <w:type w:val="continuous"/>
          <w:pgSz w:w="11906" w:h="16838"/>
          <w:pgMar w:top="1440" w:right="1800" w:bottom="1440" w:left="1800" w:header="851" w:footer="992" w:gutter="0"/>
          <w:pgNumType w:fmt="decimal"/>
          <w:cols w:space="425" w:num="1"/>
          <w:docGrid w:type="lines" w:linePitch="312" w:charSpace="0"/>
        </w:sectPr>
      </w:pPr>
    </w:p>
    <w:p w14:paraId="1463ABE6">
      <w:pPr>
        <w:tabs>
          <w:tab w:val="left" w:pos="630"/>
        </w:tabs>
        <w:snapToGrid w:val="0"/>
        <w:spacing w:line="240" w:lineRule="auto"/>
        <w:rPr>
          <w:rFonts w:hint="eastAsia" w:cs="Times New Roman"/>
          <w:sz w:val="20"/>
          <w:szCs w:val="20"/>
          <w:lang w:val="en-US" w:eastAsia="zh-CN"/>
        </w:rPr>
        <w:sectPr>
          <w:type w:val="continuous"/>
          <w:pgSz w:w="11906" w:h="16838"/>
          <w:pgMar w:top="1440" w:right="1800" w:bottom="1440" w:left="1800" w:header="851" w:footer="992" w:gutter="0"/>
          <w:pgNumType w:fmt="decimal"/>
          <w:cols w:space="425" w:num="1"/>
          <w:docGrid w:type="lines" w:linePitch="326" w:charSpace="0"/>
        </w:sectPr>
      </w:pPr>
    </w:p>
    <w:p w14:paraId="6D726BC5">
      <w:pPr>
        <w:tabs>
          <w:tab w:val="left" w:pos="630"/>
        </w:tabs>
        <w:snapToGrid w:val="0"/>
        <w:spacing w:line="240" w:lineRule="auto"/>
        <w:rPr>
          <w:rFonts w:hint="eastAsia" w:cs="Times New Roman"/>
          <w:sz w:val="20"/>
          <w:szCs w:val="20"/>
          <w:lang w:val="en-US" w:eastAsia="zh-CN"/>
        </w:rPr>
      </w:pPr>
    </w:p>
    <w:p w14:paraId="5579F96F">
      <w:pPr>
        <w:pStyle w:val="2"/>
        <w:bidi w:val="0"/>
      </w:pPr>
      <w:bookmarkStart w:id="236" w:name="_Toc9236"/>
      <w:bookmarkStart w:id="237" w:name="_Toc21524"/>
      <w:bookmarkStart w:id="238" w:name="_Toc29172"/>
      <w:r>
        <w:rPr>
          <w:rFonts w:hint="eastAsia"/>
          <w:lang w:val="en-US" w:eastAsia="zh-CN"/>
        </w:rPr>
        <w:t>附件：</w:t>
      </w:r>
      <w:r>
        <w:rPr>
          <w:rFonts w:hint="eastAsia" w:cs="Times New Roman"/>
          <w:sz w:val="24"/>
          <w:szCs w:val="24"/>
          <w:lang w:val="en-US" w:eastAsia="zh-CN"/>
        </w:rPr>
        <w:t>基于三种液体气旋采样设备的教室空气微生物采样效能验证报告</w:t>
      </w:r>
      <w:bookmarkEnd w:id="236"/>
      <w:bookmarkEnd w:id="237"/>
      <w:bookmarkEnd w:id="238"/>
    </w:p>
    <w:p w14:paraId="3D7885ED">
      <w:pPr>
        <w:spacing w:line="360" w:lineRule="auto"/>
        <w:jc w:val="center"/>
        <w:rPr>
          <w:rFonts w:hint="eastAsia" w:ascii="Times New Roman" w:hAnsi="Times New Roman" w:eastAsia="仿宋" w:cs="Times New Roman"/>
          <w:b/>
          <w:bCs/>
          <w:sz w:val="28"/>
          <w:szCs w:val="24"/>
        </w:rPr>
      </w:pPr>
      <w:bookmarkStart w:id="239" w:name="_Hlk51250009"/>
      <w:bookmarkEnd w:id="239"/>
    </w:p>
    <w:p w14:paraId="47380A14">
      <w:pPr>
        <w:spacing w:line="240" w:lineRule="auto"/>
        <w:jc w:val="center"/>
        <w:rPr>
          <w:rFonts w:ascii="Times New Roman" w:hAnsi="Times New Roman" w:eastAsia="仿宋" w:cs="Times New Roman"/>
          <w:b/>
          <w:bCs/>
          <w:sz w:val="28"/>
          <w:szCs w:val="24"/>
        </w:rPr>
      </w:pPr>
      <w:r>
        <w:rPr>
          <w:rFonts w:hint="eastAsia" w:ascii="Times New Roman" w:hAnsi="Times New Roman" w:eastAsia="仿宋" w:cs="Times New Roman"/>
          <w:b/>
          <w:bCs/>
          <w:sz w:val="28"/>
          <w:szCs w:val="24"/>
        </w:rPr>
        <w:t>基于三种液体气旋采样设备的教室空气微生物采样效能验证报告</w:t>
      </w:r>
    </w:p>
    <w:p w14:paraId="0A22AFB8">
      <w:pPr>
        <w:spacing w:line="240" w:lineRule="auto"/>
        <w:rPr>
          <w:rFonts w:hint="eastAsia" w:ascii="Times New Roman" w:hAnsi="Times New Roman" w:eastAsia="仿宋" w:cs="Times New Roman"/>
          <w:sz w:val="24"/>
          <w:szCs w:val="24"/>
          <w:lang w:val="en-US" w:eastAsia="zh-CN"/>
        </w:rPr>
      </w:pPr>
      <w:r>
        <w:rPr>
          <w:rFonts w:hint="default" w:ascii="Times New Roman" w:hAnsi="Times New Roman" w:eastAsia="黑体" w:cs="Times New Roman"/>
          <w:sz w:val="24"/>
          <w:szCs w:val="24"/>
          <w:lang w:val="en-US" w:eastAsia="zh-CN"/>
        </w:rPr>
        <w:t>摘要</w:t>
      </w:r>
      <w:r>
        <w:rPr>
          <w:rFonts w:hint="eastAsia" w:ascii="Times New Roman" w:hAnsi="Times New Roman" w:eastAsia="仿宋" w:cs="Times New Roman"/>
          <w:sz w:val="24"/>
          <w:szCs w:val="24"/>
          <w:lang w:val="en-US" w:eastAsia="zh-CN"/>
        </w:rPr>
        <w:t>：为评估液体气旋采样原理在教室室内环境空气微生物采样中的适用性，本研究在安徽省合肥市某学校教室开展了现场验证。通过同步部署基于相同液体气旋原理、流速与设计各异的大流量（400 L/min）、LS（300 L/min）及SKC（12.5 L/min）三种采样设备，在夏、冬两季进行时空同步采样，共获得588份有效样品。以细菌总数和真菌总数（CFU/m</w:t>
      </w:r>
      <w:r>
        <w:rPr>
          <w:rFonts w:hint="eastAsia" w:ascii="Times New Roman" w:hAnsi="Times New Roman" w:eastAsia="仿宋" w:cs="Times New Roman"/>
          <w:sz w:val="24"/>
          <w:szCs w:val="24"/>
          <w:vertAlign w:val="superscript"/>
          <w:lang w:val="en-US" w:eastAsia="zh-CN"/>
        </w:rPr>
        <w:t>3</w:t>
      </w:r>
      <w:r>
        <w:rPr>
          <w:rFonts w:hint="eastAsia" w:ascii="Times New Roman" w:hAnsi="Times New Roman" w:eastAsia="仿宋" w:cs="Times New Roman"/>
          <w:sz w:val="24"/>
          <w:szCs w:val="24"/>
          <w:lang w:val="en-US" w:eastAsia="zh-CN"/>
        </w:rPr>
        <w:t>）为评价指标，从可行性、准确性与稳定性三个维度，综合评估了该采样原理在真实教室场景下的应用效能。</w:t>
      </w:r>
    </w:p>
    <w:p w14:paraId="7EE74188">
      <w:pPr>
        <w:spacing w:line="240" w:lineRule="auto"/>
        <w:rPr>
          <w:rFonts w:hint="default" w:ascii="Times New Roman" w:hAnsi="Times New Roman" w:eastAsia="仿宋" w:cs="Times New Roman"/>
          <w:sz w:val="24"/>
          <w:szCs w:val="24"/>
          <w:lang w:val="en-US" w:eastAsia="zh-CN"/>
        </w:rPr>
      </w:pPr>
    </w:p>
    <w:p w14:paraId="6FBBCCCE">
      <w:pPr>
        <w:pStyle w:val="2"/>
        <w:rPr>
          <w:rFonts w:eastAsia="仿宋"/>
          <w:szCs w:val="24"/>
        </w:rPr>
      </w:pPr>
      <w:bookmarkStart w:id="240" w:name="_Toc30353"/>
      <w:bookmarkStart w:id="241" w:name="_Toc177563291"/>
      <w:bookmarkStart w:id="242" w:name="_Toc172211043"/>
      <w:r>
        <w:rPr>
          <w:rFonts w:eastAsia="仿宋"/>
          <w:szCs w:val="24"/>
        </w:rPr>
        <w:t>1</w:t>
      </w:r>
      <w:r>
        <w:rPr>
          <w:rFonts w:hint="eastAsia" w:eastAsia="仿宋"/>
          <w:szCs w:val="24"/>
        </w:rPr>
        <w:t>．采样方法</w:t>
      </w:r>
      <w:bookmarkEnd w:id="240"/>
      <w:bookmarkEnd w:id="241"/>
    </w:p>
    <w:p w14:paraId="2F966195">
      <w:pPr>
        <w:spacing w:line="240" w:lineRule="auto"/>
        <w:ind w:firstLine="480" w:firstLineChars="200"/>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液体气旋气溶胶采样技术验证工作在</w:t>
      </w:r>
      <w:r>
        <w:rPr>
          <w:rFonts w:hint="eastAsia" w:ascii="Times New Roman" w:hAnsi="Times New Roman" w:eastAsia="仿宋" w:cs="Times New Roman"/>
          <w:sz w:val="24"/>
          <w:szCs w:val="24"/>
          <w:lang w:val="en-US" w:eastAsia="zh-CN"/>
        </w:rPr>
        <w:t>安徽省合肥市某学校教室</w:t>
      </w:r>
      <w:r>
        <w:rPr>
          <w:rFonts w:hint="eastAsia" w:ascii="Times New Roman" w:hAnsi="Times New Roman" w:eastAsia="仿宋" w:cs="Times New Roman"/>
          <w:sz w:val="24"/>
          <w:szCs w:val="24"/>
        </w:rPr>
        <w:t>内进行，分别于夏季（2024年5月）和冬季（2024年12月）各开展一轮。选取学校1层与4层教室各一间，每日于固定时段（上午大课间、下午放学后）进行采样。</w:t>
      </w:r>
    </w:p>
    <w:p w14:paraId="563B6C10">
      <w:pPr>
        <w:spacing w:line="240" w:lineRule="auto"/>
        <w:ind w:firstLine="480" w:firstLineChars="200"/>
        <w:rPr>
          <w:rFonts w:ascii="Times New Roman" w:hAnsi="Times New Roman" w:eastAsia="仿宋" w:cs="Times New Roman"/>
          <w:sz w:val="24"/>
          <w:szCs w:val="24"/>
        </w:rPr>
      </w:pPr>
      <w:r>
        <w:rPr>
          <w:rFonts w:hint="eastAsia" w:ascii="Times New Roman" w:hAnsi="Times New Roman" w:eastAsia="仿宋" w:cs="Times New Roman"/>
          <w:sz w:val="24"/>
          <w:szCs w:val="24"/>
          <w:lang w:val="en-US" w:eastAsia="zh-CN"/>
        </w:rPr>
        <w:t>共</w:t>
      </w:r>
      <w:r>
        <w:rPr>
          <w:rFonts w:hint="eastAsia" w:ascii="Times New Roman" w:hAnsi="Times New Roman" w:eastAsia="仿宋" w:cs="Times New Roman"/>
          <w:sz w:val="24"/>
          <w:szCs w:val="24"/>
        </w:rPr>
        <w:t>三台设备于同点位同步运行，</w:t>
      </w:r>
      <w:r>
        <w:rPr>
          <w:rFonts w:hint="eastAsia" w:ascii="Times New Roman" w:hAnsi="Times New Roman" w:eastAsia="仿宋" w:cs="Times New Roman"/>
          <w:sz w:val="24"/>
          <w:szCs w:val="24"/>
          <w:lang w:val="en-US" w:eastAsia="zh-CN"/>
        </w:rPr>
        <w:t>三种采样设备分别命名为</w:t>
      </w:r>
      <w:r>
        <w:rPr>
          <w:rFonts w:hint="eastAsia" w:ascii="Times New Roman" w:hAnsi="Times New Roman" w:eastAsia="仿宋" w:cs="Times New Roman"/>
          <w:sz w:val="24"/>
          <w:szCs w:val="24"/>
        </w:rPr>
        <w:t>大流量</w:t>
      </w:r>
      <w:r>
        <w:rPr>
          <w:rFonts w:hint="eastAsia" w:ascii="Times New Roman" w:hAnsi="Times New Roman" w:eastAsia="仿宋" w:cs="Times New Roman"/>
          <w:sz w:val="24"/>
          <w:szCs w:val="24"/>
          <w:lang w:eastAsia="zh-CN"/>
        </w:rPr>
        <w:t>、LS</w:t>
      </w:r>
      <w:r>
        <w:rPr>
          <w:rFonts w:hint="eastAsia" w:ascii="Times New Roman" w:hAnsi="Times New Roman" w:eastAsia="仿宋" w:cs="Times New Roman"/>
          <w:sz w:val="24"/>
          <w:szCs w:val="24"/>
          <w:lang w:val="en-US" w:eastAsia="zh-CN"/>
        </w:rPr>
        <w:t>和SKC。其中大流量和LS</w:t>
      </w:r>
      <w:r>
        <w:rPr>
          <w:rFonts w:hint="eastAsia" w:ascii="Times New Roman" w:hAnsi="Times New Roman" w:eastAsia="仿宋" w:cs="Times New Roman"/>
          <w:sz w:val="24"/>
          <w:szCs w:val="24"/>
        </w:rPr>
        <w:t>分别</w:t>
      </w:r>
      <w:r>
        <w:rPr>
          <w:rFonts w:hint="eastAsia" w:ascii="Times New Roman" w:hAnsi="Times New Roman" w:eastAsia="仿宋" w:cs="Times New Roman"/>
          <w:sz w:val="24"/>
          <w:szCs w:val="24"/>
          <w:lang w:val="en-US" w:eastAsia="zh-CN"/>
        </w:rPr>
        <w:t>以</w:t>
      </w:r>
      <w:r>
        <w:rPr>
          <w:rFonts w:ascii="Times New Roman" w:hAnsi="Times New Roman" w:eastAsia="仿宋" w:cs="Times New Roman"/>
          <w:sz w:val="24"/>
          <w:szCs w:val="24"/>
        </w:rPr>
        <w:t>400L/min</w:t>
      </w:r>
      <w:r>
        <w:rPr>
          <w:rFonts w:hint="eastAsia" w:ascii="Times New Roman" w:hAnsi="Times New Roman" w:eastAsia="仿宋" w:cs="Times New Roman"/>
          <w:sz w:val="24"/>
          <w:szCs w:val="24"/>
          <w:lang w:val="en-US" w:eastAsia="zh-CN"/>
        </w:rPr>
        <w:t>和3</w:t>
      </w:r>
      <w:r>
        <w:rPr>
          <w:rFonts w:ascii="Times New Roman" w:hAnsi="Times New Roman" w:eastAsia="仿宋" w:cs="Times New Roman"/>
          <w:sz w:val="24"/>
          <w:szCs w:val="24"/>
        </w:rPr>
        <w:t>00L/min</w:t>
      </w:r>
      <w:r>
        <w:rPr>
          <w:rFonts w:hint="eastAsia" w:ascii="Times New Roman" w:hAnsi="Times New Roman" w:eastAsia="仿宋" w:cs="Times New Roman"/>
          <w:sz w:val="24"/>
          <w:szCs w:val="24"/>
          <w:lang w:val="en-US" w:eastAsia="zh-CN"/>
        </w:rPr>
        <w:t>各</w:t>
      </w:r>
      <w:r>
        <w:rPr>
          <w:rFonts w:hint="eastAsia" w:ascii="Times New Roman" w:hAnsi="Times New Roman" w:eastAsia="仿宋" w:cs="Times New Roman"/>
          <w:sz w:val="24"/>
          <w:szCs w:val="24"/>
        </w:rPr>
        <w:t>采集1、3、10分钟，</w:t>
      </w:r>
      <w:r>
        <w:rPr>
          <w:rFonts w:hint="eastAsia" w:ascii="Times New Roman" w:hAnsi="Times New Roman" w:eastAsia="仿宋" w:cs="Times New Roman"/>
          <w:sz w:val="24"/>
          <w:szCs w:val="24"/>
          <w:lang w:eastAsia="zh-CN"/>
        </w:rPr>
        <w:t>SKC</w:t>
      </w:r>
      <w:r>
        <w:rPr>
          <w:rFonts w:hint="eastAsia" w:ascii="Times New Roman" w:hAnsi="Times New Roman" w:eastAsia="仿宋" w:cs="Times New Roman"/>
          <w:sz w:val="24"/>
          <w:szCs w:val="24"/>
          <w:lang w:val="en-US" w:eastAsia="zh-CN"/>
        </w:rPr>
        <w:t>以</w:t>
      </w:r>
      <w:r>
        <w:rPr>
          <w:rFonts w:ascii="Times New Roman" w:hAnsi="Times New Roman" w:eastAsia="仿宋" w:cs="Times New Roman"/>
          <w:sz w:val="24"/>
          <w:szCs w:val="24"/>
        </w:rPr>
        <w:t>12.5L/min</w:t>
      </w:r>
      <w:r>
        <w:rPr>
          <w:rFonts w:hint="eastAsia" w:ascii="Times New Roman" w:hAnsi="Times New Roman" w:eastAsia="仿宋" w:cs="Times New Roman"/>
          <w:sz w:val="24"/>
          <w:szCs w:val="24"/>
        </w:rPr>
        <w:t>持续采集40分钟（冬季上午时段调整为24分钟）。所有样品结果均统一换算为单位体积浓度（CFU/m</w:t>
      </w:r>
      <w:r>
        <w:rPr>
          <w:rFonts w:hint="eastAsia" w:ascii="Times New Roman" w:hAnsi="Times New Roman" w:eastAsia="仿宋" w:cs="Times New Roman"/>
          <w:sz w:val="24"/>
          <w:szCs w:val="24"/>
          <w:vertAlign w:val="superscript"/>
          <w:lang w:val="en-US" w:eastAsia="zh-CN"/>
        </w:rPr>
        <w:t>3</w:t>
      </w:r>
      <w:r>
        <w:rPr>
          <w:rFonts w:hint="eastAsia" w:ascii="Times New Roman" w:hAnsi="Times New Roman" w:eastAsia="仿宋" w:cs="Times New Roman"/>
          <w:sz w:val="24"/>
          <w:szCs w:val="24"/>
        </w:rPr>
        <w:t>）以供比对。共采集</w:t>
      </w:r>
      <w:r>
        <w:rPr>
          <w:rFonts w:hint="eastAsia" w:ascii="Times New Roman" w:hAnsi="Times New Roman" w:eastAsia="仿宋" w:cs="Times New Roman"/>
          <w:sz w:val="24"/>
          <w:szCs w:val="24"/>
          <w:lang w:val="en-US" w:eastAsia="zh-CN"/>
        </w:rPr>
        <w:t>5</w:t>
      </w:r>
      <w:r>
        <w:rPr>
          <w:rFonts w:ascii="Times New Roman" w:hAnsi="Times New Roman" w:eastAsia="仿宋" w:cs="Times New Roman"/>
          <w:sz w:val="24"/>
          <w:szCs w:val="24"/>
        </w:rPr>
        <w:t>8</w:t>
      </w:r>
      <w:r>
        <w:rPr>
          <w:rFonts w:hint="eastAsia" w:ascii="Times New Roman" w:hAnsi="Times New Roman" w:eastAsia="仿宋" w:cs="Times New Roman"/>
          <w:sz w:val="24"/>
          <w:szCs w:val="24"/>
          <w:lang w:val="en-US" w:eastAsia="zh-CN"/>
        </w:rPr>
        <w:t>8</w:t>
      </w:r>
      <w:r>
        <w:rPr>
          <w:rFonts w:hint="eastAsia" w:ascii="Times New Roman" w:hAnsi="Times New Roman" w:eastAsia="仿宋" w:cs="Times New Roman"/>
          <w:sz w:val="24"/>
          <w:szCs w:val="24"/>
        </w:rPr>
        <w:t>份样品</w:t>
      </w:r>
      <w:r>
        <w:rPr>
          <w:rFonts w:hint="eastAsia" w:ascii="Times New Roman" w:hAnsi="Times New Roman" w:eastAsia="仿宋" w:cs="Times New Roman"/>
          <w:sz w:val="24"/>
          <w:szCs w:val="24"/>
          <w:lang w:eastAsia="zh-CN"/>
        </w:rPr>
        <w:t>，</w:t>
      </w:r>
      <w:r>
        <w:rPr>
          <w:rFonts w:hint="eastAsia" w:ascii="Times New Roman" w:hAnsi="Times New Roman" w:eastAsia="仿宋" w:cs="Times New Roman"/>
          <w:sz w:val="24"/>
          <w:szCs w:val="24"/>
          <w:lang w:val="en-US" w:eastAsia="zh-CN"/>
        </w:rPr>
        <w:t>其中夏季采集280份，冬季采集308份。</w:t>
      </w:r>
      <w:r>
        <w:rPr>
          <w:rFonts w:hint="eastAsia" w:ascii="Times New Roman" w:hAnsi="Times New Roman" w:eastAsia="仿宋" w:cs="Times New Roman"/>
          <w:sz w:val="24"/>
          <w:szCs w:val="24"/>
        </w:rPr>
        <w:t>以样品培养后细菌总数和真菌总数作为评价指标。所有检测结果</w:t>
      </w:r>
      <w:r>
        <w:rPr>
          <w:rFonts w:ascii="Times New Roman" w:hAnsi="Times New Roman" w:eastAsia="仿宋" w:cs="Times New Roman"/>
          <w:sz w:val="24"/>
          <w:szCs w:val="24"/>
        </w:rPr>
        <w:t>按照采气量</w:t>
      </w:r>
      <w:r>
        <w:rPr>
          <w:rFonts w:hint="eastAsia" w:ascii="Times New Roman" w:hAnsi="Times New Roman" w:eastAsia="仿宋" w:cs="Times New Roman"/>
          <w:sz w:val="24"/>
          <w:szCs w:val="24"/>
        </w:rPr>
        <w:t>、采气时间</w:t>
      </w:r>
      <w:r>
        <w:rPr>
          <w:rFonts w:ascii="Times New Roman" w:hAnsi="Times New Roman" w:eastAsia="仿宋" w:cs="Times New Roman"/>
          <w:sz w:val="24"/>
          <w:szCs w:val="24"/>
        </w:rPr>
        <w:t>进行</w:t>
      </w:r>
      <w:r>
        <w:rPr>
          <w:rFonts w:hint="eastAsia" w:ascii="Times New Roman" w:hAnsi="Times New Roman" w:eastAsia="仿宋" w:cs="Times New Roman"/>
          <w:sz w:val="24"/>
          <w:szCs w:val="24"/>
        </w:rPr>
        <w:t>统一</w:t>
      </w:r>
      <w:r>
        <w:rPr>
          <w:rFonts w:ascii="Times New Roman" w:hAnsi="Times New Roman" w:eastAsia="仿宋" w:cs="Times New Roman"/>
          <w:sz w:val="24"/>
          <w:szCs w:val="24"/>
        </w:rPr>
        <w:t>换算</w:t>
      </w:r>
      <w:r>
        <w:rPr>
          <w:rFonts w:hint="eastAsia" w:ascii="Times New Roman" w:hAnsi="Times New Roman" w:eastAsia="仿宋" w:cs="Times New Roman"/>
          <w:sz w:val="24"/>
          <w:szCs w:val="24"/>
        </w:rPr>
        <w:t>为C</w:t>
      </w:r>
      <w:r>
        <w:rPr>
          <w:rFonts w:ascii="Times New Roman" w:hAnsi="Times New Roman" w:eastAsia="仿宋" w:cs="Times New Roman"/>
          <w:sz w:val="24"/>
          <w:szCs w:val="24"/>
        </w:rPr>
        <w:t>FU/m</w:t>
      </w:r>
      <w:r>
        <w:rPr>
          <w:rFonts w:ascii="Times New Roman" w:hAnsi="Times New Roman" w:eastAsia="仿宋" w:cs="Times New Roman"/>
          <w:sz w:val="24"/>
          <w:szCs w:val="24"/>
          <w:vertAlign w:val="superscript"/>
        </w:rPr>
        <w:t>3</w:t>
      </w:r>
      <w:r>
        <w:rPr>
          <w:rFonts w:ascii="Times New Roman" w:hAnsi="Times New Roman" w:eastAsia="仿宋" w:cs="Times New Roman"/>
          <w:sz w:val="24"/>
          <w:szCs w:val="24"/>
        </w:rPr>
        <w:t>。</w:t>
      </w:r>
    </w:p>
    <w:p w14:paraId="16711837">
      <w:pPr>
        <w:spacing w:line="240" w:lineRule="auto"/>
        <w:jc w:val="center"/>
        <w:rPr>
          <w:rFonts w:ascii="Times New Roman" w:hAnsi="Times New Roman" w:eastAsia="仿宋" w:cs="Times New Roman"/>
          <w:sz w:val="24"/>
          <w:szCs w:val="24"/>
        </w:rPr>
      </w:pPr>
      <w:r>
        <w:rPr>
          <w:rFonts w:hint="default" w:ascii="Times New Roman" w:hAnsi="Times New Roman" w:eastAsia="仿宋" w:cs="Times New Roman"/>
          <w:sz w:val="24"/>
          <w:szCs w:val="24"/>
        </w:rPr>
        <w:t>各方法采样流速、采样时长</w:t>
      </w:r>
    </w:p>
    <w:tbl>
      <w:tblPr>
        <w:tblStyle w:val="26"/>
        <w:tblW w:w="5000" w:type="pct"/>
        <w:tblInd w:w="0" w:type="dxa"/>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37"/>
        <w:gridCol w:w="2320"/>
        <w:gridCol w:w="1742"/>
        <w:gridCol w:w="907"/>
        <w:gridCol w:w="453"/>
        <w:gridCol w:w="453"/>
        <w:gridCol w:w="910"/>
      </w:tblGrid>
      <w:tr w14:paraId="448878E9">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019" w:type="pct"/>
            <w:tcBorders>
              <w:top w:val="single" w:color="auto" w:sz="4" w:space="0"/>
              <w:bottom w:val="single" w:color="auto" w:sz="4" w:space="0"/>
            </w:tcBorders>
            <w:vAlign w:val="center"/>
          </w:tcPr>
          <w:p w14:paraId="0BBAA3EA">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方法</w:t>
            </w:r>
          </w:p>
        </w:tc>
        <w:tc>
          <w:tcPr>
            <w:tcW w:w="1361" w:type="pct"/>
            <w:tcBorders>
              <w:top w:val="single" w:color="auto" w:sz="4" w:space="0"/>
              <w:bottom w:val="single" w:color="auto" w:sz="4" w:space="0"/>
            </w:tcBorders>
            <w:vAlign w:val="center"/>
          </w:tcPr>
          <w:p w14:paraId="122F08C0">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采样流速（L/min）</w:t>
            </w:r>
          </w:p>
        </w:tc>
        <w:tc>
          <w:tcPr>
            <w:tcW w:w="1022" w:type="pct"/>
            <w:tcBorders>
              <w:top w:val="single" w:color="auto" w:sz="4" w:space="0"/>
              <w:bottom w:val="single" w:color="auto" w:sz="4" w:space="0"/>
            </w:tcBorders>
            <w:vAlign w:val="center"/>
          </w:tcPr>
          <w:p w14:paraId="316F5ED4">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采样液体积</w:t>
            </w:r>
          </w:p>
        </w:tc>
        <w:tc>
          <w:tcPr>
            <w:tcW w:w="1597" w:type="pct"/>
            <w:gridSpan w:val="4"/>
            <w:tcBorders>
              <w:top w:val="single" w:color="auto" w:sz="4" w:space="0"/>
              <w:bottom w:val="single" w:color="auto" w:sz="4" w:space="0"/>
            </w:tcBorders>
            <w:vAlign w:val="center"/>
          </w:tcPr>
          <w:p w14:paraId="1895C3E2">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采样时长</w:t>
            </w:r>
          </w:p>
        </w:tc>
      </w:tr>
      <w:tr w14:paraId="7ABFAEC8">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019" w:type="pct"/>
            <w:tcBorders>
              <w:top w:val="single" w:color="auto" w:sz="4" w:space="0"/>
            </w:tcBorders>
            <w:vAlign w:val="center"/>
          </w:tcPr>
          <w:p w14:paraId="42936B3F">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大流量</w:t>
            </w:r>
          </w:p>
        </w:tc>
        <w:tc>
          <w:tcPr>
            <w:tcW w:w="1361" w:type="pct"/>
            <w:tcBorders>
              <w:top w:val="single" w:color="auto" w:sz="4" w:space="0"/>
            </w:tcBorders>
            <w:vAlign w:val="center"/>
          </w:tcPr>
          <w:p w14:paraId="2C86193E">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400</w:t>
            </w:r>
          </w:p>
        </w:tc>
        <w:tc>
          <w:tcPr>
            <w:tcW w:w="1022" w:type="pct"/>
            <w:tcBorders>
              <w:top w:val="single" w:color="auto" w:sz="4" w:space="0"/>
            </w:tcBorders>
            <w:vAlign w:val="center"/>
          </w:tcPr>
          <w:p w14:paraId="2F8332B2">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3</w:t>
            </w:r>
          </w:p>
        </w:tc>
        <w:tc>
          <w:tcPr>
            <w:tcW w:w="532" w:type="pct"/>
            <w:tcBorders>
              <w:top w:val="single" w:color="auto" w:sz="4" w:space="0"/>
            </w:tcBorders>
            <w:vAlign w:val="center"/>
          </w:tcPr>
          <w:p w14:paraId="573CA1F7">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1min</w:t>
            </w:r>
          </w:p>
        </w:tc>
        <w:tc>
          <w:tcPr>
            <w:tcW w:w="532" w:type="pct"/>
            <w:gridSpan w:val="2"/>
            <w:tcBorders>
              <w:top w:val="single" w:color="auto" w:sz="4" w:space="0"/>
            </w:tcBorders>
            <w:vAlign w:val="center"/>
          </w:tcPr>
          <w:p w14:paraId="4C1E6FA0">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3min</w:t>
            </w:r>
          </w:p>
        </w:tc>
        <w:tc>
          <w:tcPr>
            <w:tcW w:w="532" w:type="pct"/>
            <w:tcBorders>
              <w:top w:val="single" w:color="auto" w:sz="4" w:space="0"/>
            </w:tcBorders>
            <w:vAlign w:val="center"/>
          </w:tcPr>
          <w:p w14:paraId="46AD205F">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10min</w:t>
            </w:r>
          </w:p>
        </w:tc>
      </w:tr>
      <w:tr w14:paraId="5726F276">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019" w:type="pct"/>
            <w:vAlign w:val="center"/>
          </w:tcPr>
          <w:p w14:paraId="26A1196E">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eastAsia" w:ascii="Times New Roman" w:hAnsi="Times New Roman" w:eastAsia="仿宋" w:cs="Times New Roman"/>
                <w:kern w:val="0"/>
                <w:sz w:val="21"/>
                <w:szCs w:val="21"/>
                <w:lang w:eastAsia="zh-CN"/>
              </w:rPr>
              <w:t>LS</w:t>
            </w:r>
          </w:p>
        </w:tc>
        <w:tc>
          <w:tcPr>
            <w:tcW w:w="1361" w:type="pct"/>
            <w:vAlign w:val="center"/>
          </w:tcPr>
          <w:p w14:paraId="0D5964A9">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300</w:t>
            </w:r>
          </w:p>
        </w:tc>
        <w:tc>
          <w:tcPr>
            <w:tcW w:w="1022" w:type="pct"/>
            <w:vAlign w:val="center"/>
          </w:tcPr>
          <w:p w14:paraId="397756C0">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15</w:t>
            </w:r>
          </w:p>
        </w:tc>
        <w:tc>
          <w:tcPr>
            <w:tcW w:w="532" w:type="pct"/>
            <w:vAlign w:val="center"/>
          </w:tcPr>
          <w:p w14:paraId="3247D5CC">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1min</w:t>
            </w:r>
          </w:p>
        </w:tc>
        <w:tc>
          <w:tcPr>
            <w:tcW w:w="532" w:type="pct"/>
            <w:gridSpan w:val="2"/>
            <w:vAlign w:val="center"/>
          </w:tcPr>
          <w:p w14:paraId="08E1C8FB">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3min</w:t>
            </w:r>
          </w:p>
        </w:tc>
        <w:tc>
          <w:tcPr>
            <w:tcW w:w="532" w:type="pct"/>
            <w:vAlign w:val="center"/>
          </w:tcPr>
          <w:p w14:paraId="58E7FECD">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10min</w:t>
            </w:r>
          </w:p>
        </w:tc>
      </w:tr>
      <w:tr w14:paraId="5C7CE34C">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019" w:type="pct"/>
            <w:vAlign w:val="center"/>
          </w:tcPr>
          <w:p w14:paraId="0C30799A">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SKC</w:t>
            </w:r>
          </w:p>
        </w:tc>
        <w:tc>
          <w:tcPr>
            <w:tcW w:w="1361" w:type="pct"/>
            <w:vAlign w:val="center"/>
          </w:tcPr>
          <w:p w14:paraId="3AB5CF87">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12.5</w:t>
            </w:r>
          </w:p>
        </w:tc>
        <w:tc>
          <w:tcPr>
            <w:tcW w:w="1022" w:type="pct"/>
            <w:vAlign w:val="center"/>
          </w:tcPr>
          <w:p w14:paraId="6BE74BED">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20</w:t>
            </w:r>
          </w:p>
        </w:tc>
        <w:tc>
          <w:tcPr>
            <w:tcW w:w="798" w:type="pct"/>
            <w:gridSpan w:val="2"/>
            <w:vAlign w:val="center"/>
          </w:tcPr>
          <w:p w14:paraId="2358B3CB">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eastAsia" w:ascii="Times New Roman" w:hAnsi="Times New Roman" w:eastAsia="仿宋" w:cs="Times New Roman"/>
                <w:kern w:val="0"/>
                <w:sz w:val="21"/>
                <w:szCs w:val="21"/>
                <w:lang w:val="en-US" w:eastAsia="zh-CN"/>
              </w:rPr>
              <w:t>24</w:t>
            </w:r>
            <w:r>
              <w:rPr>
                <w:rFonts w:hint="default" w:ascii="Times New Roman" w:hAnsi="Times New Roman" w:eastAsia="仿宋" w:cs="Times New Roman"/>
                <w:kern w:val="0"/>
                <w:sz w:val="21"/>
                <w:szCs w:val="21"/>
              </w:rPr>
              <w:t>min</w:t>
            </w:r>
          </w:p>
        </w:tc>
        <w:tc>
          <w:tcPr>
            <w:tcW w:w="798" w:type="pct"/>
            <w:gridSpan w:val="2"/>
            <w:vAlign w:val="center"/>
          </w:tcPr>
          <w:p w14:paraId="3B039EEB">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40</w:t>
            </w:r>
            <w:r>
              <w:rPr>
                <w:rFonts w:hint="default" w:ascii="Times New Roman" w:hAnsi="Times New Roman" w:eastAsia="仿宋" w:cs="Times New Roman"/>
                <w:kern w:val="0"/>
                <w:sz w:val="21"/>
                <w:szCs w:val="21"/>
              </w:rPr>
              <w:t>min</w:t>
            </w:r>
          </w:p>
        </w:tc>
      </w:tr>
    </w:tbl>
    <w:p w14:paraId="493F5A22">
      <w:pPr>
        <w:pStyle w:val="2"/>
        <w:rPr>
          <w:rFonts w:eastAsia="仿宋"/>
          <w:szCs w:val="24"/>
        </w:rPr>
      </w:pPr>
      <w:bookmarkStart w:id="243" w:name="_Toc177563292"/>
      <w:bookmarkStart w:id="244" w:name="_Toc29578"/>
      <w:r>
        <w:rPr>
          <w:rFonts w:hint="eastAsia" w:eastAsia="仿宋"/>
          <w:szCs w:val="24"/>
        </w:rPr>
        <w:t>2．评价方法与结果</w:t>
      </w:r>
      <w:bookmarkEnd w:id="242"/>
      <w:bookmarkEnd w:id="243"/>
      <w:bookmarkEnd w:id="244"/>
    </w:p>
    <w:p w14:paraId="1E71962E">
      <w:pPr>
        <w:spacing w:line="240" w:lineRule="auto"/>
        <w:ind w:firstLine="480" w:firstLineChars="200"/>
        <w:rPr>
          <w:rFonts w:ascii="Times New Roman" w:hAnsi="Times New Roman" w:eastAsia="仿宋" w:cs="Times New Roman"/>
          <w:sz w:val="24"/>
          <w:szCs w:val="24"/>
        </w:rPr>
      </w:pPr>
      <w:r>
        <w:rPr>
          <w:rFonts w:hint="eastAsia" w:ascii="Times New Roman" w:hAnsi="Times New Roman" w:eastAsia="仿宋" w:cs="Times New Roman"/>
          <w:sz w:val="24"/>
          <w:szCs w:val="24"/>
        </w:rPr>
        <w:t>本研究以三种设备在相同时空节点下获得的配对数据为基础，进行交叉比对与统计分析，评价液体气旋采样技术的综合性能。</w:t>
      </w:r>
    </w:p>
    <w:p w14:paraId="069B35A9">
      <w:pPr>
        <w:pStyle w:val="3"/>
        <w:spacing w:line="240" w:lineRule="auto"/>
        <w:rPr>
          <w:rFonts w:eastAsia="仿宋" w:cs="Times New Roman"/>
          <w:szCs w:val="24"/>
        </w:rPr>
      </w:pPr>
      <w:bookmarkStart w:id="245" w:name="_Toc177563293"/>
      <w:bookmarkStart w:id="246" w:name="_Toc20578"/>
      <w:bookmarkStart w:id="247" w:name="_Toc172211044"/>
      <w:r>
        <w:rPr>
          <w:rFonts w:eastAsia="仿宋" w:cs="Times New Roman"/>
          <w:szCs w:val="24"/>
        </w:rPr>
        <w:t>（1）可行性分析</w:t>
      </w:r>
      <w:bookmarkEnd w:id="245"/>
      <w:bookmarkEnd w:id="246"/>
      <w:bookmarkEnd w:id="247"/>
    </w:p>
    <w:p w14:paraId="0B664ACC">
      <w:pPr>
        <w:spacing w:line="240" w:lineRule="auto"/>
        <w:ind w:firstLine="480" w:firstLineChars="200"/>
        <w:rPr>
          <w:rFonts w:ascii="Times New Roman" w:hAnsi="Times New Roman" w:eastAsia="仿宋" w:cs="Times New Roman"/>
          <w:sz w:val="24"/>
          <w:szCs w:val="24"/>
        </w:rPr>
      </w:pPr>
      <w:r>
        <w:rPr>
          <w:rFonts w:hint="eastAsia" w:ascii="Times New Roman" w:hAnsi="Times New Roman" w:eastAsia="仿宋" w:cs="Times New Roman"/>
          <w:sz w:val="24"/>
          <w:szCs w:val="24"/>
        </w:rPr>
        <w:t>可行性从检出能力</w:t>
      </w:r>
      <w:r>
        <w:rPr>
          <w:rFonts w:hint="eastAsia" w:ascii="Times New Roman" w:hAnsi="Times New Roman" w:eastAsia="仿宋" w:cs="Times New Roman"/>
          <w:sz w:val="24"/>
          <w:szCs w:val="24"/>
          <w:lang w:eastAsia="zh-CN"/>
        </w:rPr>
        <w:t>（</w:t>
      </w:r>
      <w:r>
        <w:rPr>
          <w:rFonts w:hint="eastAsia" w:ascii="Times New Roman" w:hAnsi="Times New Roman" w:eastAsia="仿宋" w:cs="Times New Roman"/>
          <w:sz w:val="24"/>
          <w:szCs w:val="24"/>
        </w:rPr>
        <w:t>对低浓度样品</w:t>
      </w:r>
      <w:r>
        <w:rPr>
          <w:rFonts w:hint="eastAsia" w:ascii="Times New Roman" w:hAnsi="Times New Roman" w:eastAsia="仿宋" w:cs="Times New Roman"/>
          <w:sz w:val="24"/>
          <w:szCs w:val="24"/>
          <w:lang w:eastAsia="zh-CN"/>
        </w:rPr>
        <w:t>）、</w:t>
      </w:r>
      <w:r>
        <w:rPr>
          <w:rFonts w:hint="eastAsia" w:ascii="Times New Roman" w:hAnsi="Times New Roman" w:eastAsia="仿宋" w:cs="Times New Roman"/>
          <w:sz w:val="24"/>
          <w:szCs w:val="24"/>
        </w:rPr>
        <w:t>超标识别能力</w:t>
      </w:r>
      <w:r>
        <w:rPr>
          <w:rFonts w:hint="eastAsia" w:ascii="Times New Roman" w:hAnsi="Times New Roman" w:eastAsia="仿宋" w:cs="Times New Roman"/>
          <w:sz w:val="24"/>
          <w:szCs w:val="24"/>
          <w:lang w:eastAsia="zh-CN"/>
        </w:rPr>
        <w:t>（</w:t>
      </w:r>
      <w:r>
        <w:rPr>
          <w:rFonts w:hint="eastAsia" w:ascii="Times New Roman" w:hAnsi="Times New Roman" w:eastAsia="仿宋" w:cs="Times New Roman"/>
          <w:sz w:val="24"/>
          <w:szCs w:val="24"/>
        </w:rPr>
        <w:t>对高浓度样品</w:t>
      </w:r>
      <w:r>
        <w:rPr>
          <w:rFonts w:hint="eastAsia" w:ascii="Times New Roman" w:hAnsi="Times New Roman" w:eastAsia="仿宋" w:cs="Times New Roman"/>
          <w:sz w:val="24"/>
          <w:szCs w:val="24"/>
          <w:lang w:eastAsia="zh-CN"/>
        </w:rPr>
        <w:t>）</w:t>
      </w:r>
      <w:r>
        <w:rPr>
          <w:rFonts w:hint="eastAsia" w:ascii="Times New Roman" w:hAnsi="Times New Roman" w:eastAsia="仿宋" w:cs="Times New Roman"/>
          <w:sz w:val="24"/>
          <w:szCs w:val="24"/>
        </w:rPr>
        <w:t>及操作过程三个方面进行评估。</w:t>
      </w:r>
    </w:p>
    <w:p w14:paraId="6E5022A3">
      <w:pPr>
        <w:pStyle w:val="4"/>
        <w:spacing w:line="240" w:lineRule="auto"/>
        <w:ind w:firstLine="482"/>
        <w:rPr>
          <w:rFonts w:cs="Times New Roman"/>
        </w:rPr>
      </w:pPr>
      <w:bookmarkStart w:id="248" w:name="_Toc8706"/>
      <w:bookmarkStart w:id="249" w:name="_Toc177563294"/>
      <w:r>
        <w:rPr>
          <w:rFonts w:hint="eastAsia" w:cs="Times New Roman"/>
        </w:rPr>
        <w:t>1）检出率</w:t>
      </w:r>
      <w:bookmarkEnd w:id="248"/>
      <w:bookmarkEnd w:id="249"/>
    </w:p>
    <w:p w14:paraId="6F681B91">
      <w:pPr>
        <w:spacing w:line="240" w:lineRule="auto"/>
        <w:ind w:firstLine="480" w:firstLineChars="200"/>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使用样本及整体的检出率作为评价指标，衡量</w:t>
      </w:r>
      <w:r>
        <w:rPr>
          <w:rFonts w:hint="eastAsia" w:ascii="Times New Roman" w:hAnsi="Times New Roman" w:eastAsia="仿宋" w:cs="Times New Roman"/>
          <w:sz w:val="24"/>
          <w:szCs w:val="24"/>
          <w:lang w:val="en-US" w:eastAsia="zh-CN"/>
        </w:rPr>
        <w:t>三种设备</w:t>
      </w:r>
      <w:r>
        <w:rPr>
          <w:rFonts w:hint="eastAsia" w:ascii="Times New Roman" w:hAnsi="Times New Roman" w:eastAsia="仿宋" w:cs="Times New Roman"/>
          <w:sz w:val="24"/>
          <w:szCs w:val="24"/>
        </w:rPr>
        <w:t>对低浓度样品采样检测的可行性。分析结果显示在识别空气微生物是否存在方面，三种设备表现存在差异。</w:t>
      </w:r>
    </w:p>
    <w:p w14:paraId="6F440991">
      <w:pPr>
        <w:pStyle w:val="46"/>
        <w:numPr>
          <w:ilvl w:val="0"/>
          <w:numId w:val="6"/>
        </w:numPr>
        <w:spacing w:line="240" w:lineRule="auto"/>
        <w:ind w:firstLineChars="0"/>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对于单个样品，分析发现：</w:t>
      </w:r>
    </w:p>
    <w:p w14:paraId="18594B62">
      <w:pPr>
        <w:spacing w:line="240" w:lineRule="auto"/>
        <w:ind w:firstLine="480" w:firstLineChars="200"/>
        <w:rPr>
          <w:rFonts w:hint="eastAsia" w:ascii="Times New Roman" w:hAnsi="Times New Roman" w:eastAsia="仿宋" w:cs="Times New Roman"/>
          <w:kern w:val="2"/>
          <w:sz w:val="24"/>
          <w:szCs w:val="24"/>
          <w:lang w:val="en-US" w:eastAsia="zh-CN" w:bidi="ar-SA"/>
        </w:rPr>
      </w:pPr>
      <w:r>
        <w:rPr>
          <w:rFonts w:hint="eastAsia" w:ascii="Times New Roman" w:hAnsi="Times New Roman" w:eastAsia="仿宋" w:cs="Times New Roman"/>
          <w:kern w:val="2"/>
          <w:sz w:val="24"/>
          <w:szCs w:val="24"/>
          <w:lang w:val="en-US" w:eastAsia="zh-CN" w:bidi="ar-SA"/>
        </w:rPr>
        <w:t>细菌总数：在</w:t>
      </w:r>
      <w:r>
        <w:rPr>
          <w:rFonts w:hint="eastAsia" w:ascii="Times New Roman" w:hAnsi="Times New Roman" w:eastAsia="仿宋" w:cs="Times New Roman"/>
          <w:b/>
          <w:bCs/>
          <w:kern w:val="2"/>
          <w:sz w:val="24"/>
          <w:szCs w:val="24"/>
          <w:lang w:val="en-US" w:eastAsia="zh-CN" w:bidi="ar-SA"/>
        </w:rPr>
        <w:t>夏季</w:t>
      </w:r>
      <w:r>
        <w:rPr>
          <w:rFonts w:hint="eastAsia" w:ascii="Times New Roman" w:hAnsi="Times New Roman" w:eastAsia="仿宋" w:cs="Times New Roman"/>
          <w:kern w:val="2"/>
          <w:sz w:val="24"/>
          <w:szCs w:val="24"/>
          <w:lang w:val="en-US" w:eastAsia="zh-CN" w:bidi="ar-SA"/>
        </w:rPr>
        <w:t>LS检出，大流量未检出的占所有结果的26.67%（32/120）；LS未检出，大流量检出的占10.83%（13/120）；两种方法均未检出的占5.00%（6/120）；在</w:t>
      </w:r>
      <w:r>
        <w:rPr>
          <w:rFonts w:hint="eastAsia" w:ascii="Times New Roman" w:hAnsi="Times New Roman" w:eastAsia="仿宋" w:cs="Times New Roman"/>
          <w:b/>
          <w:bCs/>
          <w:kern w:val="2"/>
          <w:sz w:val="24"/>
          <w:szCs w:val="24"/>
          <w:lang w:val="en-US" w:eastAsia="zh-CN" w:bidi="ar-SA"/>
        </w:rPr>
        <w:t>冬季</w:t>
      </w:r>
      <w:r>
        <w:rPr>
          <w:rFonts w:hint="eastAsia" w:ascii="Times New Roman" w:hAnsi="Times New Roman" w:eastAsia="仿宋" w:cs="Times New Roman"/>
          <w:kern w:val="2"/>
          <w:sz w:val="24"/>
          <w:szCs w:val="24"/>
          <w:lang w:val="en-US" w:eastAsia="zh-CN" w:bidi="ar-SA"/>
        </w:rPr>
        <w:t>LS检出，大流量未检出的占所有结果的24.17%（29/132）；LS未检出，大流量检出的占16.67%（20/132）；两种方法均未检出的占14.17%（17/132）。</w:t>
      </w:r>
    </w:p>
    <w:p w14:paraId="34ADB8C8">
      <w:pPr>
        <w:spacing w:line="240" w:lineRule="auto"/>
        <w:ind w:firstLine="480" w:firstLineChars="200"/>
        <w:rPr>
          <w:rFonts w:hint="eastAsia" w:ascii="Times New Roman" w:hAnsi="Times New Roman" w:eastAsia="仿宋" w:cs="Times New Roman"/>
          <w:kern w:val="2"/>
          <w:sz w:val="24"/>
          <w:szCs w:val="24"/>
          <w:lang w:val="en-US" w:eastAsia="zh-CN" w:bidi="ar-SA"/>
        </w:rPr>
      </w:pPr>
      <w:r>
        <w:rPr>
          <w:rFonts w:hint="eastAsia" w:ascii="Times New Roman" w:hAnsi="Times New Roman" w:eastAsia="仿宋" w:cs="Times New Roman"/>
          <w:kern w:val="2"/>
          <w:sz w:val="24"/>
          <w:szCs w:val="24"/>
          <w:lang w:val="en-US" w:eastAsia="zh-CN" w:bidi="ar-SA"/>
        </w:rPr>
        <w:t>真菌总数：在</w:t>
      </w:r>
      <w:r>
        <w:rPr>
          <w:rFonts w:hint="eastAsia" w:ascii="Times New Roman" w:hAnsi="Times New Roman" w:eastAsia="仿宋" w:cs="Times New Roman"/>
          <w:b/>
          <w:bCs/>
          <w:kern w:val="2"/>
          <w:sz w:val="24"/>
          <w:szCs w:val="24"/>
          <w:lang w:val="en-US" w:eastAsia="zh-CN" w:bidi="ar-SA"/>
        </w:rPr>
        <w:t>夏季</w:t>
      </w:r>
      <w:r>
        <w:rPr>
          <w:rFonts w:hint="eastAsia" w:ascii="Times New Roman" w:hAnsi="Times New Roman" w:eastAsia="仿宋" w:cs="Times New Roman"/>
          <w:kern w:val="2"/>
          <w:sz w:val="24"/>
          <w:szCs w:val="24"/>
          <w:lang w:val="en-US" w:eastAsia="zh-CN" w:bidi="ar-SA"/>
        </w:rPr>
        <w:t>LS检出，大流量未检出的占所有结果的26.67%（36/120）；LS未检出，大流量检出的占10.83%（9/120）；两种方法均未检出的占5.00%（8/120）；在</w:t>
      </w:r>
      <w:r>
        <w:rPr>
          <w:rFonts w:hint="eastAsia" w:ascii="Times New Roman" w:hAnsi="Times New Roman" w:eastAsia="仿宋" w:cs="Times New Roman"/>
          <w:b/>
          <w:bCs/>
          <w:kern w:val="2"/>
          <w:sz w:val="24"/>
          <w:szCs w:val="24"/>
          <w:lang w:val="en-US" w:eastAsia="zh-CN" w:bidi="ar-SA"/>
        </w:rPr>
        <w:t>冬季</w:t>
      </w:r>
      <w:r>
        <w:rPr>
          <w:rFonts w:hint="eastAsia" w:ascii="Times New Roman" w:hAnsi="Times New Roman" w:eastAsia="仿宋" w:cs="Times New Roman"/>
          <w:kern w:val="2"/>
          <w:sz w:val="24"/>
          <w:szCs w:val="24"/>
          <w:lang w:val="en-US" w:eastAsia="zh-CN" w:bidi="ar-SA"/>
        </w:rPr>
        <w:t>LS检出，大流量未检出的占所有结果的24.17%（41/132）；LS未检出，大流量检出的占16.67%（5/132）；两种方法均未检出的占14.17%（14/132）。</w:t>
      </w:r>
    </w:p>
    <w:p w14:paraId="0796A3C1">
      <w:pPr>
        <w:pStyle w:val="46"/>
        <w:numPr>
          <w:ilvl w:val="0"/>
          <w:numId w:val="6"/>
        </w:numPr>
        <w:spacing w:line="240" w:lineRule="auto"/>
        <w:ind w:firstLineChars="0"/>
        <w:rPr>
          <w:rFonts w:hint="eastAsia"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对于整体样品，分析发现：</w:t>
      </w:r>
    </w:p>
    <w:p w14:paraId="3914E773">
      <w:pPr>
        <w:spacing w:line="240" w:lineRule="auto"/>
        <w:ind w:firstLine="480" w:firstLineChars="200"/>
        <w:rPr>
          <w:rFonts w:hint="eastAsia" w:ascii="Times New Roman" w:hAnsi="Times New Roman" w:eastAsia="仿宋" w:cs="Times New Roman"/>
          <w:sz w:val="24"/>
          <w:szCs w:val="24"/>
          <w:lang w:val="en-US" w:eastAsia="zh-CN"/>
        </w:rPr>
      </w:pPr>
      <w:r>
        <w:rPr>
          <w:rFonts w:hint="eastAsia" w:ascii="Times New Roman" w:hAnsi="Times New Roman" w:eastAsia="仿宋" w:cs="Times New Roman"/>
          <w:sz w:val="24"/>
          <w:szCs w:val="24"/>
        </w:rPr>
        <w:t>细菌总数：</w:t>
      </w:r>
      <w:r>
        <w:rPr>
          <w:rFonts w:hint="eastAsia" w:ascii="Times New Roman" w:hAnsi="Times New Roman" w:eastAsia="仿宋" w:cs="Times New Roman"/>
          <w:sz w:val="24"/>
          <w:szCs w:val="24"/>
          <w:lang w:val="en-US" w:eastAsia="zh-CN"/>
        </w:rPr>
        <w:t>在</w:t>
      </w:r>
      <w:r>
        <w:rPr>
          <w:rFonts w:hint="eastAsia" w:ascii="Times New Roman" w:hAnsi="Times New Roman" w:eastAsia="仿宋" w:cs="Times New Roman"/>
          <w:b/>
          <w:bCs/>
          <w:sz w:val="24"/>
          <w:szCs w:val="24"/>
          <w:lang w:val="en-US" w:eastAsia="zh-CN"/>
        </w:rPr>
        <w:t>夏季</w:t>
      </w:r>
      <w:r>
        <w:rPr>
          <w:rFonts w:hint="eastAsia" w:ascii="Times New Roman" w:hAnsi="Times New Roman" w:eastAsia="仿宋" w:cs="Times New Roman"/>
          <w:sz w:val="24"/>
          <w:szCs w:val="24"/>
          <w:lang w:val="en-US" w:eastAsia="zh-CN"/>
        </w:rPr>
        <w:t>，三种设备检出率分别为</w:t>
      </w:r>
      <w:r>
        <w:rPr>
          <w:rFonts w:hint="eastAsia" w:ascii="Times New Roman" w:hAnsi="Times New Roman" w:eastAsia="仿宋" w:cs="Times New Roman"/>
          <w:sz w:val="24"/>
          <w:szCs w:val="24"/>
        </w:rPr>
        <w:t>6</w:t>
      </w:r>
      <w:r>
        <w:rPr>
          <w:rFonts w:ascii="Times New Roman" w:hAnsi="Times New Roman" w:eastAsia="仿宋" w:cs="Times New Roman"/>
          <w:sz w:val="24"/>
          <w:szCs w:val="24"/>
        </w:rPr>
        <w:t>7.50</w:t>
      </w:r>
      <w:r>
        <w:rPr>
          <w:rFonts w:hint="eastAsia" w:ascii="Times New Roman" w:hAnsi="Times New Roman" w:eastAsia="仿宋" w:cs="Times New Roman"/>
          <w:sz w:val="24"/>
          <w:szCs w:val="24"/>
        </w:rPr>
        <w:t>%</w:t>
      </w:r>
      <w:r>
        <w:rPr>
          <w:rFonts w:hint="eastAsia" w:ascii="Times New Roman" w:hAnsi="Times New Roman" w:eastAsia="仿宋" w:cs="Times New Roman"/>
          <w:sz w:val="24"/>
          <w:szCs w:val="24"/>
          <w:lang w:eastAsia="zh-CN"/>
        </w:rPr>
        <w:t>、</w:t>
      </w:r>
      <w:r>
        <w:rPr>
          <w:rFonts w:hint="eastAsia" w:ascii="Times New Roman" w:hAnsi="Times New Roman" w:eastAsia="仿宋" w:cs="Times New Roman"/>
          <w:sz w:val="24"/>
          <w:szCs w:val="24"/>
        </w:rPr>
        <w:t>8</w:t>
      </w:r>
      <w:r>
        <w:rPr>
          <w:rFonts w:ascii="Times New Roman" w:hAnsi="Times New Roman" w:eastAsia="仿宋" w:cs="Times New Roman"/>
          <w:sz w:val="24"/>
          <w:szCs w:val="24"/>
        </w:rPr>
        <w:t>3.90</w:t>
      </w:r>
      <w:r>
        <w:rPr>
          <w:rFonts w:hint="eastAsia" w:ascii="Times New Roman" w:hAnsi="Times New Roman" w:eastAsia="仿宋" w:cs="Times New Roman"/>
          <w:sz w:val="24"/>
          <w:szCs w:val="24"/>
        </w:rPr>
        <w:t>%和8</w:t>
      </w:r>
      <w:r>
        <w:rPr>
          <w:rFonts w:ascii="Times New Roman" w:hAnsi="Times New Roman" w:eastAsia="仿宋" w:cs="Times New Roman"/>
          <w:sz w:val="24"/>
          <w:szCs w:val="24"/>
        </w:rPr>
        <w:t>5.00</w:t>
      </w:r>
      <w:r>
        <w:rPr>
          <w:rFonts w:hint="eastAsia" w:ascii="Times New Roman" w:hAnsi="Times New Roman" w:eastAsia="仿宋" w:cs="Times New Roman"/>
          <w:sz w:val="24"/>
          <w:szCs w:val="24"/>
        </w:rPr>
        <w:t>%</w:t>
      </w:r>
      <w:r>
        <w:rPr>
          <w:rFonts w:hint="eastAsia" w:ascii="Times New Roman" w:hAnsi="Times New Roman" w:eastAsia="仿宋" w:cs="Times New Roman"/>
          <w:sz w:val="24"/>
          <w:szCs w:val="24"/>
          <w:lang w:eastAsia="zh-CN"/>
        </w:rPr>
        <w:t>；</w:t>
      </w:r>
      <w:r>
        <w:rPr>
          <w:rFonts w:hint="eastAsia" w:ascii="Times New Roman" w:hAnsi="Times New Roman" w:eastAsia="仿宋" w:cs="Times New Roman"/>
          <w:sz w:val="24"/>
          <w:szCs w:val="24"/>
          <w:lang w:val="en-US" w:eastAsia="zh-CN"/>
        </w:rPr>
        <w:t>在</w:t>
      </w:r>
      <w:r>
        <w:rPr>
          <w:rFonts w:hint="eastAsia" w:ascii="Times New Roman" w:hAnsi="Times New Roman" w:eastAsia="仿宋" w:cs="Times New Roman"/>
          <w:b/>
          <w:bCs/>
          <w:sz w:val="24"/>
          <w:szCs w:val="24"/>
          <w:lang w:val="en-US" w:eastAsia="zh-CN"/>
        </w:rPr>
        <w:t>冬季</w:t>
      </w:r>
      <w:r>
        <w:rPr>
          <w:rFonts w:hint="eastAsia" w:ascii="Times New Roman" w:hAnsi="Times New Roman" w:eastAsia="仿宋" w:cs="Times New Roman"/>
          <w:sz w:val="24"/>
          <w:szCs w:val="24"/>
          <w:lang w:val="en-US" w:eastAsia="zh-CN"/>
        </w:rPr>
        <w:t>，三种设备</w:t>
      </w:r>
      <w:r>
        <w:rPr>
          <w:rFonts w:hint="eastAsia" w:ascii="Times New Roman" w:hAnsi="Times New Roman" w:eastAsia="仿宋" w:cs="Times New Roman"/>
          <w:sz w:val="24"/>
          <w:szCs w:val="24"/>
        </w:rPr>
        <w:t>检出率</w:t>
      </w:r>
      <w:r>
        <w:rPr>
          <w:rFonts w:hint="eastAsia" w:ascii="Times New Roman" w:hAnsi="Times New Roman" w:eastAsia="仿宋" w:cs="Times New Roman"/>
          <w:sz w:val="24"/>
          <w:szCs w:val="24"/>
          <w:lang w:val="en-US" w:eastAsia="zh-CN"/>
        </w:rPr>
        <w:t>分别为</w:t>
      </w:r>
      <w:r>
        <w:rPr>
          <w:rFonts w:hint="eastAsia" w:ascii="Times New Roman" w:hAnsi="Times New Roman" w:eastAsia="仿宋" w:cs="Times New Roman"/>
          <w:sz w:val="24"/>
          <w:szCs w:val="24"/>
        </w:rPr>
        <w:t>6</w:t>
      </w:r>
      <w:r>
        <w:rPr>
          <w:rFonts w:hint="eastAsia" w:ascii="Times New Roman" w:hAnsi="Times New Roman" w:eastAsia="仿宋" w:cs="Times New Roman"/>
          <w:sz w:val="24"/>
          <w:szCs w:val="24"/>
          <w:lang w:val="en-US" w:eastAsia="zh-CN"/>
        </w:rPr>
        <w:t>5.15</w:t>
      </w:r>
      <w:r>
        <w:rPr>
          <w:rFonts w:hint="eastAsia" w:ascii="Times New Roman" w:hAnsi="Times New Roman" w:eastAsia="仿宋" w:cs="Times New Roman"/>
          <w:sz w:val="24"/>
          <w:szCs w:val="24"/>
        </w:rPr>
        <w:t>%</w:t>
      </w:r>
      <w:r>
        <w:rPr>
          <w:rFonts w:hint="eastAsia" w:ascii="Times New Roman" w:hAnsi="Times New Roman" w:eastAsia="仿宋" w:cs="Times New Roman"/>
          <w:sz w:val="24"/>
          <w:szCs w:val="24"/>
          <w:lang w:eastAsia="zh-CN"/>
        </w:rPr>
        <w:t>、</w:t>
      </w:r>
      <w:r>
        <w:rPr>
          <w:rFonts w:hint="eastAsia" w:ascii="Times New Roman" w:hAnsi="Times New Roman" w:eastAsia="仿宋" w:cs="Times New Roman"/>
          <w:sz w:val="24"/>
          <w:szCs w:val="24"/>
          <w:lang w:val="en-US" w:eastAsia="zh-CN"/>
        </w:rPr>
        <w:t>71.97</w:t>
      </w:r>
      <w:r>
        <w:rPr>
          <w:rFonts w:hint="eastAsia" w:ascii="Times New Roman" w:hAnsi="Times New Roman" w:eastAsia="仿宋" w:cs="Times New Roman"/>
          <w:sz w:val="24"/>
          <w:szCs w:val="24"/>
        </w:rPr>
        <w:t>%和</w:t>
      </w:r>
      <w:r>
        <w:rPr>
          <w:rFonts w:hint="eastAsia" w:ascii="Times New Roman" w:hAnsi="Times New Roman" w:eastAsia="仿宋" w:cs="Times New Roman"/>
          <w:sz w:val="24"/>
          <w:szCs w:val="24"/>
          <w:lang w:val="en-US" w:eastAsia="zh-CN"/>
        </w:rPr>
        <w:t>70.45</w:t>
      </w:r>
      <w:r>
        <w:rPr>
          <w:rFonts w:hint="eastAsia" w:ascii="Times New Roman" w:hAnsi="Times New Roman" w:eastAsia="仿宋" w:cs="Times New Roman"/>
          <w:sz w:val="24"/>
          <w:szCs w:val="24"/>
        </w:rPr>
        <w:t>%</w:t>
      </w:r>
      <w:r>
        <w:rPr>
          <w:rFonts w:hint="eastAsia" w:ascii="Times New Roman" w:hAnsi="Times New Roman" w:eastAsia="仿宋" w:cs="Times New Roman"/>
          <w:sz w:val="24"/>
          <w:szCs w:val="24"/>
          <w:lang w:eastAsia="zh-CN"/>
        </w:rPr>
        <w:t>。</w:t>
      </w:r>
    </w:p>
    <w:p w14:paraId="244A29AB">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仿宋" w:cs="Times New Roman"/>
          <w:sz w:val="24"/>
          <w:szCs w:val="24"/>
          <w:lang w:eastAsia="zh-CN"/>
        </w:rPr>
      </w:pPr>
      <w:r>
        <w:rPr>
          <w:rFonts w:hint="eastAsia" w:ascii="Times New Roman" w:hAnsi="Times New Roman" w:eastAsia="仿宋" w:cs="Times New Roman"/>
          <w:sz w:val="24"/>
          <w:szCs w:val="24"/>
        </w:rPr>
        <w:t>真菌总数：</w:t>
      </w:r>
      <w:r>
        <w:rPr>
          <w:rFonts w:hint="eastAsia" w:ascii="Times New Roman" w:hAnsi="Times New Roman" w:eastAsia="仿宋" w:cs="Times New Roman"/>
          <w:sz w:val="24"/>
          <w:szCs w:val="24"/>
          <w:lang w:val="en-US" w:eastAsia="zh-CN"/>
        </w:rPr>
        <w:t>在</w:t>
      </w:r>
      <w:r>
        <w:rPr>
          <w:rFonts w:hint="eastAsia" w:ascii="Times New Roman" w:hAnsi="Times New Roman" w:eastAsia="仿宋" w:cs="Times New Roman"/>
          <w:b/>
          <w:bCs/>
          <w:sz w:val="24"/>
          <w:szCs w:val="24"/>
          <w:lang w:val="en-US" w:eastAsia="zh-CN"/>
        </w:rPr>
        <w:t>夏季</w:t>
      </w:r>
      <w:r>
        <w:rPr>
          <w:rFonts w:hint="eastAsia" w:ascii="Times New Roman" w:hAnsi="Times New Roman" w:eastAsia="仿宋" w:cs="Times New Roman"/>
          <w:sz w:val="24"/>
          <w:szCs w:val="24"/>
          <w:lang w:val="en-US" w:eastAsia="zh-CN"/>
        </w:rPr>
        <w:t>，三种设备</w:t>
      </w:r>
      <w:r>
        <w:rPr>
          <w:rFonts w:hint="eastAsia" w:ascii="Times New Roman" w:hAnsi="Times New Roman" w:eastAsia="仿宋" w:cs="Times New Roman"/>
          <w:sz w:val="24"/>
          <w:szCs w:val="24"/>
        </w:rPr>
        <w:t>检出率</w:t>
      </w:r>
      <w:r>
        <w:rPr>
          <w:rFonts w:hint="eastAsia" w:ascii="Times New Roman" w:hAnsi="Times New Roman" w:eastAsia="仿宋" w:cs="Times New Roman"/>
          <w:sz w:val="24"/>
          <w:szCs w:val="24"/>
          <w:lang w:val="en-US" w:eastAsia="zh-CN"/>
        </w:rPr>
        <w:t>分别为</w:t>
      </w:r>
      <w:r>
        <w:rPr>
          <w:rFonts w:hint="eastAsia" w:ascii="Times New Roman" w:hAnsi="Times New Roman" w:eastAsia="仿宋" w:cs="Times New Roman"/>
          <w:sz w:val="24"/>
          <w:szCs w:val="24"/>
        </w:rPr>
        <w:t>6</w:t>
      </w:r>
      <w:r>
        <w:rPr>
          <w:rFonts w:hint="eastAsia" w:ascii="Times New Roman" w:hAnsi="Times New Roman" w:eastAsia="仿宋" w:cs="Times New Roman"/>
          <w:sz w:val="24"/>
          <w:szCs w:val="24"/>
          <w:lang w:val="en-US" w:eastAsia="zh-CN"/>
        </w:rPr>
        <w:t>3.03</w:t>
      </w:r>
      <w:r>
        <w:rPr>
          <w:rFonts w:hint="eastAsia" w:ascii="Times New Roman" w:hAnsi="Times New Roman" w:eastAsia="仿宋" w:cs="Times New Roman"/>
          <w:sz w:val="24"/>
          <w:szCs w:val="24"/>
        </w:rPr>
        <w:t>%</w:t>
      </w:r>
      <w:r>
        <w:rPr>
          <w:rFonts w:hint="eastAsia" w:ascii="Times New Roman" w:hAnsi="Times New Roman" w:eastAsia="仿宋" w:cs="Times New Roman"/>
          <w:sz w:val="24"/>
          <w:szCs w:val="24"/>
          <w:lang w:eastAsia="zh-CN"/>
        </w:rPr>
        <w:t>、</w:t>
      </w:r>
      <w:r>
        <w:rPr>
          <w:rFonts w:hint="eastAsia" w:ascii="Times New Roman" w:hAnsi="Times New Roman" w:eastAsia="仿宋" w:cs="Times New Roman"/>
          <w:sz w:val="24"/>
          <w:szCs w:val="24"/>
        </w:rPr>
        <w:t>8</w:t>
      </w:r>
      <w:r>
        <w:rPr>
          <w:rFonts w:hint="eastAsia" w:ascii="Times New Roman" w:hAnsi="Times New Roman" w:eastAsia="仿宋" w:cs="Times New Roman"/>
          <w:sz w:val="24"/>
          <w:szCs w:val="24"/>
          <w:lang w:val="en-US" w:eastAsia="zh-CN"/>
        </w:rPr>
        <w:t>5.83</w:t>
      </w:r>
      <w:r>
        <w:rPr>
          <w:rFonts w:hint="eastAsia" w:ascii="Times New Roman" w:hAnsi="Times New Roman" w:eastAsia="仿宋" w:cs="Times New Roman"/>
          <w:sz w:val="24"/>
          <w:szCs w:val="24"/>
        </w:rPr>
        <w:t>%和</w:t>
      </w:r>
      <w:r>
        <w:rPr>
          <w:rFonts w:hint="eastAsia" w:ascii="Times New Roman" w:hAnsi="Times New Roman" w:eastAsia="仿宋" w:cs="Times New Roman"/>
          <w:sz w:val="24"/>
          <w:szCs w:val="24"/>
          <w:lang w:val="en-US" w:eastAsia="zh-CN"/>
        </w:rPr>
        <w:t>90</w:t>
      </w:r>
      <w:r>
        <w:rPr>
          <w:rFonts w:ascii="Times New Roman" w:hAnsi="Times New Roman" w:eastAsia="仿宋" w:cs="Times New Roman"/>
          <w:sz w:val="24"/>
          <w:szCs w:val="24"/>
        </w:rPr>
        <w:t>.00</w:t>
      </w:r>
      <w:r>
        <w:rPr>
          <w:rFonts w:hint="eastAsia" w:ascii="Times New Roman" w:hAnsi="Times New Roman" w:eastAsia="仿宋" w:cs="Times New Roman"/>
          <w:sz w:val="24"/>
          <w:szCs w:val="24"/>
        </w:rPr>
        <w:t>%</w:t>
      </w:r>
      <w:r>
        <w:rPr>
          <w:rFonts w:hint="eastAsia" w:ascii="Times New Roman" w:hAnsi="Times New Roman" w:eastAsia="仿宋" w:cs="Times New Roman"/>
          <w:sz w:val="24"/>
          <w:szCs w:val="24"/>
          <w:lang w:eastAsia="zh-CN"/>
        </w:rPr>
        <w:t>；</w:t>
      </w:r>
      <w:r>
        <w:rPr>
          <w:rFonts w:hint="eastAsia" w:ascii="Times New Roman" w:hAnsi="Times New Roman" w:eastAsia="仿宋" w:cs="Times New Roman"/>
          <w:sz w:val="24"/>
          <w:szCs w:val="24"/>
          <w:lang w:val="en-US" w:eastAsia="zh-CN"/>
        </w:rPr>
        <w:t>在</w:t>
      </w:r>
      <w:r>
        <w:rPr>
          <w:rFonts w:hint="eastAsia" w:ascii="Times New Roman" w:hAnsi="Times New Roman" w:eastAsia="仿宋" w:cs="Times New Roman"/>
          <w:b/>
          <w:bCs/>
          <w:sz w:val="24"/>
          <w:szCs w:val="24"/>
          <w:lang w:val="en-US" w:eastAsia="zh-CN"/>
        </w:rPr>
        <w:t>冬季</w:t>
      </w:r>
      <w:r>
        <w:rPr>
          <w:rFonts w:hint="eastAsia" w:ascii="Times New Roman" w:hAnsi="Times New Roman" w:eastAsia="仿宋" w:cs="Times New Roman"/>
          <w:sz w:val="24"/>
          <w:szCs w:val="24"/>
          <w:lang w:val="en-US" w:eastAsia="zh-CN"/>
        </w:rPr>
        <w:t>，三种设备</w:t>
      </w:r>
      <w:r>
        <w:rPr>
          <w:rFonts w:hint="eastAsia" w:ascii="Times New Roman" w:hAnsi="Times New Roman" w:eastAsia="仿宋" w:cs="Times New Roman"/>
          <w:sz w:val="24"/>
          <w:szCs w:val="24"/>
        </w:rPr>
        <w:t>检出率</w:t>
      </w:r>
      <w:r>
        <w:rPr>
          <w:rFonts w:hint="eastAsia" w:ascii="Times New Roman" w:hAnsi="Times New Roman" w:eastAsia="仿宋" w:cs="Times New Roman"/>
          <w:sz w:val="24"/>
          <w:szCs w:val="24"/>
          <w:lang w:val="en-US" w:eastAsia="zh-CN"/>
        </w:rPr>
        <w:t>分别为58.33</w:t>
      </w:r>
      <w:r>
        <w:rPr>
          <w:rFonts w:hint="eastAsia" w:ascii="Times New Roman" w:hAnsi="Times New Roman" w:eastAsia="仿宋" w:cs="Times New Roman"/>
          <w:sz w:val="24"/>
          <w:szCs w:val="24"/>
        </w:rPr>
        <w:t>%</w:t>
      </w:r>
      <w:r>
        <w:rPr>
          <w:rFonts w:hint="eastAsia" w:ascii="Times New Roman" w:hAnsi="Times New Roman" w:eastAsia="仿宋" w:cs="Times New Roman"/>
          <w:sz w:val="24"/>
          <w:szCs w:val="24"/>
          <w:lang w:eastAsia="zh-CN"/>
        </w:rPr>
        <w:t>、</w:t>
      </w:r>
      <w:r>
        <w:rPr>
          <w:rFonts w:hint="eastAsia" w:ascii="Times New Roman" w:hAnsi="Times New Roman" w:eastAsia="仿宋" w:cs="Times New Roman"/>
          <w:sz w:val="24"/>
          <w:szCs w:val="24"/>
          <w:lang w:val="en-US" w:eastAsia="zh-CN"/>
        </w:rPr>
        <w:t>78.03</w:t>
      </w:r>
      <w:r>
        <w:rPr>
          <w:rFonts w:hint="eastAsia" w:ascii="Times New Roman" w:hAnsi="Times New Roman" w:eastAsia="仿宋" w:cs="Times New Roman"/>
          <w:sz w:val="24"/>
          <w:szCs w:val="24"/>
        </w:rPr>
        <w:t>%和</w:t>
      </w:r>
      <w:r>
        <w:rPr>
          <w:rFonts w:hint="eastAsia" w:ascii="Times New Roman" w:hAnsi="Times New Roman" w:eastAsia="仿宋" w:cs="Times New Roman"/>
          <w:sz w:val="24"/>
          <w:szCs w:val="24"/>
          <w:lang w:val="en-US" w:eastAsia="zh-CN"/>
        </w:rPr>
        <w:t>75.00</w:t>
      </w:r>
      <w:r>
        <w:rPr>
          <w:rFonts w:hint="eastAsia" w:ascii="Times New Roman" w:hAnsi="Times New Roman" w:eastAsia="仿宋" w:cs="Times New Roman"/>
          <w:sz w:val="24"/>
          <w:szCs w:val="24"/>
        </w:rPr>
        <w:t>%</w:t>
      </w:r>
      <w:r>
        <w:rPr>
          <w:rFonts w:hint="eastAsia" w:ascii="Times New Roman" w:hAnsi="Times New Roman" w:eastAsia="仿宋" w:cs="Times New Roman"/>
          <w:sz w:val="24"/>
          <w:szCs w:val="24"/>
          <w:lang w:eastAsia="zh-CN"/>
        </w:rPr>
        <w:t>。</w:t>
      </w:r>
    </w:p>
    <w:p w14:paraId="3E25F4DA">
      <w:pPr>
        <w:pStyle w:val="46"/>
        <w:numPr>
          <w:ilvl w:val="0"/>
          <w:numId w:val="6"/>
        </w:numPr>
        <w:spacing w:line="240" w:lineRule="auto"/>
        <w:ind w:firstLineChars="0"/>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rPr>
        <w:t>组间差异分析</w:t>
      </w:r>
    </w:p>
    <w:p w14:paraId="072E1B2C">
      <w:pPr>
        <w:pStyle w:val="46"/>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仿宋" w:cs="Times New Roman"/>
          <w:kern w:val="2"/>
          <w:sz w:val="24"/>
          <w:szCs w:val="24"/>
          <w:lang w:val="en-US" w:eastAsia="zh-CN" w:bidi="ar-SA"/>
        </w:rPr>
      </w:pPr>
      <w:r>
        <w:rPr>
          <w:rFonts w:hint="eastAsia" w:ascii="Times New Roman" w:hAnsi="Times New Roman" w:eastAsia="仿宋" w:cs="Times New Roman"/>
          <w:kern w:val="2"/>
          <w:sz w:val="24"/>
          <w:szCs w:val="24"/>
          <w:lang w:val="en-US" w:eastAsia="zh-CN" w:bidi="ar-SA"/>
        </w:rPr>
        <w:t>细菌总数:在夏季大流量样品检出率与LS检出率、SKC检出率均有差异（</w:t>
      </w:r>
      <w:r>
        <w:rPr>
          <w:rFonts w:hint="eastAsia" w:ascii="Times New Roman" w:hAnsi="Times New Roman" w:eastAsia="仿宋" w:cs="Times New Roman"/>
          <w:i/>
          <w:iCs/>
          <w:kern w:val="2"/>
          <w:sz w:val="24"/>
          <w:szCs w:val="24"/>
          <w:lang w:val="en-US" w:eastAsia="zh-CN" w:bidi="ar-SA"/>
        </w:rPr>
        <w:t>P</w:t>
      </w:r>
      <w:r>
        <w:rPr>
          <w:rFonts w:hint="eastAsia" w:ascii="Times New Roman" w:hAnsi="Times New Roman" w:eastAsia="仿宋" w:cs="Times New Roman"/>
          <w:kern w:val="2"/>
          <w:sz w:val="24"/>
          <w:szCs w:val="24"/>
          <w:lang w:val="en-US" w:eastAsia="zh-CN" w:bidi="ar-SA"/>
        </w:rPr>
        <w:t>&lt;0.05），在冬季大流量样品检出率与LS检出率、SKC检出率均有差异（</w:t>
      </w:r>
      <w:r>
        <w:rPr>
          <w:rFonts w:hint="eastAsia" w:ascii="Times New Roman" w:hAnsi="Times New Roman" w:eastAsia="仿宋" w:cs="Times New Roman"/>
          <w:i/>
          <w:iCs/>
          <w:kern w:val="2"/>
          <w:sz w:val="24"/>
          <w:szCs w:val="24"/>
          <w:lang w:val="en-US" w:eastAsia="zh-CN" w:bidi="ar-SA"/>
        </w:rPr>
        <w:t>P</w:t>
      </w:r>
      <w:r>
        <w:rPr>
          <w:rFonts w:hint="eastAsia" w:ascii="Times New Roman" w:hAnsi="Times New Roman" w:eastAsia="仿宋" w:cs="Times New Roman"/>
          <w:kern w:val="2"/>
          <w:sz w:val="24"/>
          <w:szCs w:val="24"/>
          <w:lang w:val="en-US" w:eastAsia="zh-CN" w:bidi="ar-SA"/>
        </w:rPr>
        <w:t>&lt;0.05），</w:t>
      </w:r>
    </w:p>
    <w:p w14:paraId="74D656DB">
      <w:pPr>
        <w:pStyle w:val="46"/>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仿宋" w:cs="Times New Roman"/>
          <w:kern w:val="2"/>
          <w:sz w:val="24"/>
          <w:szCs w:val="24"/>
          <w:lang w:val="en-US" w:eastAsia="zh-CN" w:bidi="ar-SA"/>
        </w:rPr>
      </w:pPr>
      <w:r>
        <w:rPr>
          <w:rFonts w:hint="eastAsia" w:ascii="Times New Roman" w:hAnsi="Times New Roman" w:eastAsia="仿宋" w:cs="Times New Roman"/>
          <w:kern w:val="2"/>
          <w:sz w:val="24"/>
          <w:szCs w:val="24"/>
          <w:lang w:val="en-US" w:eastAsia="zh-CN" w:bidi="ar-SA"/>
        </w:rPr>
        <w:t>真菌总数：分析结果显示无论夏冬，大流量超标率与LS及SKC法超标率间均有差异（表1、2）。</w:t>
      </w:r>
    </w:p>
    <w:p w14:paraId="38F03F0B">
      <w:pPr>
        <w:pStyle w:val="46"/>
        <w:numPr>
          <w:ilvl w:val="0"/>
          <w:numId w:val="6"/>
        </w:numPr>
        <w:spacing w:line="240" w:lineRule="auto"/>
        <w:ind w:firstLineChars="0"/>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对同一方法不同季节间进行组间差异分析</w:t>
      </w:r>
    </w:p>
    <w:p w14:paraId="6F79A596">
      <w:pPr>
        <w:pStyle w:val="46"/>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仿宋" w:cs="Times New Roman"/>
          <w:kern w:val="2"/>
          <w:sz w:val="24"/>
          <w:szCs w:val="24"/>
          <w:lang w:val="en-US" w:eastAsia="zh-CN" w:bidi="ar-SA"/>
        </w:rPr>
      </w:pPr>
      <w:r>
        <w:rPr>
          <w:rFonts w:hint="eastAsia" w:ascii="Times New Roman" w:hAnsi="Times New Roman" w:eastAsia="仿宋" w:cs="Times New Roman"/>
          <w:kern w:val="2"/>
          <w:sz w:val="24"/>
          <w:szCs w:val="24"/>
          <w:lang w:val="en-US" w:eastAsia="zh-CN" w:bidi="ar-SA"/>
        </w:rPr>
        <w:t>大流量、SKC样品超标率检测结果在夏冬季无差别（</w:t>
      </w:r>
      <w:r>
        <w:rPr>
          <w:rFonts w:hint="eastAsia" w:ascii="Times New Roman" w:hAnsi="Times New Roman" w:eastAsia="仿宋" w:cs="Times New Roman"/>
          <w:i/>
          <w:iCs/>
          <w:kern w:val="2"/>
          <w:sz w:val="24"/>
          <w:szCs w:val="24"/>
          <w:lang w:val="en-US" w:eastAsia="zh-CN" w:bidi="ar-SA"/>
        </w:rPr>
        <w:t>P</w:t>
      </w:r>
      <w:r>
        <w:rPr>
          <w:rFonts w:hint="eastAsia" w:ascii="Times New Roman" w:hAnsi="Times New Roman" w:eastAsia="仿宋" w:cs="Times New Roman"/>
          <w:kern w:val="2"/>
          <w:sz w:val="24"/>
          <w:szCs w:val="24"/>
          <w:lang w:val="en-US" w:eastAsia="zh-CN" w:bidi="ar-SA"/>
        </w:rPr>
        <w:t>&gt;0.05），而LS与SKC的样品超标率在夏冬间有差异（</w:t>
      </w:r>
      <w:r>
        <w:rPr>
          <w:rFonts w:hint="eastAsia" w:ascii="Times New Roman" w:hAnsi="Times New Roman" w:eastAsia="仿宋" w:cs="Times New Roman"/>
          <w:i/>
          <w:iCs/>
          <w:kern w:val="2"/>
          <w:sz w:val="24"/>
          <w:szCs w:val="24"/>
          <w:lang w:val="en-US" w:eastAsia="zh-CN" w:bidi="ar-SA"/>
        </w:rPr>
        <w:t>P</w:t>
      </w:r>
      <w:r>
        <w:rPr>
          <w:rFonts w:hint="eastAsia" w:ascii="Times New Roman" w:hAnsi="Times New Roman" w:eastAsia="仿宋" w:cs="Times New Roman"/>
          <w:kern w:val="2"/>
          <w:sz w:val="24"/>
          <w:szCs w:val="24"/>
          <w:lang w:val="en-US" w:eastAsia="zh-CN" w:bidi="ar-SA"/>
        </w:rPr>
        <w:t>&lt;0.05）（表3、4）。</w:t>
      </w:r>
    </w:p>
    <w:p w14:paraId="13C2E253">
      <w:pPr>
        <w:pStyle w:val="46"/>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jc w:val="center"/>
        <w:textAlignment w:val="auto"/>
        <w:rPr>
          <w:rFonts w:hint="eastAsia" w:ascii="Times New Roman" w:hAnsi="Times New Roman" w:eastAsia="仿宋" w:cs="Times New Roman"/>
          <w:kern w:val="2"/>
          <w:sz w:val="24"/>
          <w:szCs w:val="24"/>
          <w:lang w:val="en-US" w:eastAsia="zh-CN" w:bidi="ar-SA"/>
        </w:rPr>
      </w:pPr>
      <w:r>
        <w:rPr>
          <w:rFonts w:hint="eastAsia" w:ascii="Times New Roman" w:hAnsi="Times New Roman" w:eastAsia="仿宋" w:cs="Times New Roman"/>
          <w:kern w:val="2"/>
          <w:sz w:val="24"/>
          <w:szCs w:val="24"/>
          <w:lang w:val="en-US" w:eastAsia="zh-CN" w:bidi="ar-SA"/>
        </w:rPr>
        <w:t>表1 夏季三种方法采集样品的结果检出率卡方检验</w:t>
      </w:r>
    </w:p>
    <w:tbl>
      <w:tblPr>
        <w:tblStyle w:val="26"/>
        <w:tblW w:w="5001" w:type="pct"/>
        <w:tblInd w:w="0" w:type="dxa"/>
        <w:tblBorders>
          <w:top w:val="single" w:color="auto" w:sz="8" w:space="0"/>
          <w:left w:val="none" w:color="auto" w:sz="0" w:space="0"/>
          <w:bottom w:val="single" w:color="auto" w:sz="8" w:space="0"/>
          <w:right w:val="none" w:color="auto" w:sz="0" w:space="0"/>
          <w:insideH w:val="none" w:color="auto" w:sz="0" w:space="0"/>
          <w:insideV w:val="none" w:color="auto" w:sz="0" w:space="0"/>
        </w:tblBorders>
        <w:tblLayout w:type="autofit"/>
        <w:tblCellMar>
          <w:top w:w="0" w:type="dxa"/>
          <w:left w:w="28" w:type="dxa"/>
          <w:bottom w:w="0" w:type="dxa"/>
          <w:right w:w="28" w:type="dxa"/>
        </w:tblCellMar>
      </w:tblPr>
      <w:tblGrid>
        <w:gridCol w:w="933"/>
        <w:gridCol w:w="1357"/>
        <w:gridCol w:w="1308"/>
        <w:gridCol w:w="1308"/>
        <w:gridCol w:w="1484"/>
        <w:gridCol w:w="1301"/>
        <w:gridCol w:w="673"/>
      </w:tblGrid>
      <w:tr w14:paraId="46588F93">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28" w:type="dxa"/>
            <w:bottom w:w="0" w:type="dxa"/>
            <w:right w:w="28" w:type="dxa"/>
          </w:tblCellMar>
        </w:tblPrEx>
        <w:trPr>
          <w:trHeight w:val="340" w:hRule="atLeast"/>
        </w:trPr>
        <w:tc>
          <w:tcPr>
            <w:tcW w:w="558" w:type="pct"/>
            <w:tcBorders>
              <w:top w:val="single" w:color="auto" w:sz="8" w:space="0"/>
              <w:bottom w:val="single" w:color="auto" w:sz="6" w:space="0"/>
            </w:tcBorders>
            <w:vAlign w:val="center"/>
          </w:tcPr>
          <w:p w14:paraId="36714ABE">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指标</w:t>
            </w:r>
          </w:p>
        </w:tc>
        <w:tc>
          <w:tcPr>
            <w:tcW w:w="811" w:type="pct"/>
            <w:tcBorders>
              <w:top w:val="single" w:color="auto" w:sz="8" w:space="0"/>
              <w:bottom w:val="single" w:color="auto" w:sz="6" w:space="0"/>
            </w:tcBorders>
            <w:vAlign w:val="center"/>
          </w:tcPr>
          <w:p w14:paraId="334D3B88">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方法</w:t>
            </w:r>
          </w:p>
        </w:tc>
        <w:tc>
          <w:tcPr>
            <w:tcW w:w="782" w:type="pct"/>
            <w:tcBorders>
              <w:top w:val="single" w:color="auto" w:sz="8" w:space="0"/>
              <w:bottom w:val="single" w:color="auto" w:sz="6" w:space="0"/>
            </w:tcBorders>
            <w:vAlign w:val="center"/>
          </w:tcPr>
          <w:p w14:paraId="34F1A873">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例数</w:t>
            </w:r>
          </w:p>
        </w:tc>
        <w:tc>
          <w:tcPr>
            <w:tcW w:w="782" w:type="pct"/>
            <w:tcBorders>
              <w:top w:val="single" w:color="auto" w:sz="8" w:space="0"/>
              <w:bottom w:val="single" w:color="auto" w:sz="6" w:space="0"/>
            </w:tcBorders>
            <w:vAlign w:val="center"/>
          </w:tcPr>
          <w:p w14:paraId="35D807AA">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检出例数</w:t>
            </w:r>
          </w:p>
        </w:tc>
        <w:tc>
          <w:tcPr>
            <w:tcW w:w="887" w:type="pct"/>
            <w:tcBorders>
              <w:top w:val="single" w:color="auto" w:sz="8" w:space="0"/>
              <w:bottom w:val="single" w:color="auto" w:sz="6" w:space="0"/>
            </w:tcBorders>
            <w:vAlign w:val="center"/>
          </w:tcPr>
          <w:p w14:paraId="3BAACDF7">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未检出例数</w:t>
            </w:r>
          </w:p>
        </w:tc>
        <w:tc>
          <w:tcPr>
            <w:tcW w:w="778" w:type="pct"/>
            <w:tcBorders>
              <w:top w:val="single" w:color="auto" w:sz="8" w:space="0"/>
              <w:bottom w:val="single" w:color="auto" w:sz="6" w:space="0"/>
            </w:tcBorders>
            <w:vAlign w:val="center"/>
          </w:tcPr>
          <w:p w14:paraId="22AC41F7">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检出率（%）</w:t>
            </w:r>
          </w:p>
        </w:tc>
        <w:tc>
          <w:tcPr>
            <w:tcW w:w="402" w:type="pct"/>
            <w:tcBorders>
              <w:top w:val="single" w:color="auto" w:sz="8" w:space="0"/>
              <w:bottom w:val="single" w:color="auto" w:sz="6" w:space="0"/>
            </w:tcBorders>
            <w:vAlign w:val="center"/>
          </w:tcPr>
          <w:p w14:paraId="456B7447">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i/>
                <w:iCs/>
                <w:kern w:val="0"/>
                <w:sz w:val="21"/>
                <w:szCs w:val="21"/>
              </w:rPr>
              <w:t>P</w:t>
            </w:r>
            <w:r>
              <w:rPr>
                <w:rFonts w:hint="default" w:ascii="Times New Roman" w:hAnsi="Times New Roman" w:eastAsia="仿宋" w:cs="Times New Roman"/>
                <w:kern w:val="0"/>
                <w:sz w:val="21"/>
                <w:szCs w:val="21"/>
              </w:rPr>
              <w:t>值</w:t>
            </w:r>
          </w:p>
        </w:tc>
      </w:tr>
      <w:tr w14:paraId="5AA79D66">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28" w:type="dxa"/>
            <w:bottom w:w="0" w:type="dxa"/>
            <w:right w:w="28" w:type="dxa"/>
          </w:tblCellMar>
        </w:tblPrEx>
        <w:trPr>
          <w:trHeight w:val="340" w:hRule="atLeast"/>
        </w:trPr>
        <w:tc>
          <w:tcPr>
            <w:tcW w:w="558" w:type="pct"/>
            <w:vMerge w:val="restart"/>
            <w:tcBorders>
              <w:top w:val="single" w:color="auto" w:sz="6" w:space="0"/>
            </w:tcBorders>
          </w:tcPr>
          <w:p w14:paraId="4E88D4B1">
            <w:pPr>
              <w:keepNext w:val="0"/>
              <w:keepLines w:val="0"/>
              <w:suppressLineNumbers w:val="0"/>
              <w:spacing w:before="0" w:beforeAutospacing="0" w:after="0" w:afterAutospacing="0" w:line="240" w:lineRule="auto"/>
              <w:ind w:left="0" w:right="0"/>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细菌总数</w:t>
            </w:r>
          </w:p>
        </w:tc>
        <w:tc>
          <w:tcPr>
            <w:tcW w:w="811" w:type="pct"/>
            <w:tcBorders>
              <w:top w:val="single" w:color="auto" w:sz="6" w:space="0"/>
            </w:tcBorders>
            <w:vAlign w:val="center"/>
          </w:tcPr>
          <w:p w14:paraId="72545F6B">
            <w:pPr>
              <w:keepNext w:val="0"/>
              <w:keepLines w:val="0"/>
              <w:suppressLineNumbers w:val="0"/>
              <w:spacing w:before="0" w:beforeAutospacing="0" w:after="0" w:afterAutospacing="0" w:line="240" w:lineRule="auto"/>
              <w:ind w:left="0" w:right="0"/>
              <w:jc w:val="center"/>
              <w:rPr>
                <w:rFonts w:hint="eastAsia" w:ascii="Times New Roman" w:hAnsi="Times New Roman" w:eastAsia="仿宋" w:cs="Times New Roman"/>
                <w:kern w:val="0"/>
                <w:sz w:val="21"/>
                <w:szCs w:val="21"/>
                <w:lang w:eastAsia="zh-CN"/>
              </w:rPr>
            </w:pPr>
            <w:r>
              <w:rPr>
                <w:rFonts w:hint="eastAsia" w:ascii="Times New Roman" w:hAnsi="Times New Roman" w:eastAsia="仿宋" w:cs="Times New Roman"/>
                <w:kern w:val="0"/>
                <w:sz w:val="21"/>
                <w:szCs w:val="21"/>
                <w:lang w:eastAsia="zh-CN"/>
              </w:rPr>
              <w:t>大流量</w:t>
            </w:r>
          </w:p>
        </w:tc>
        <w:tc>
          <w:tcPr>
            <w:tcW w:w="782" w:type="pct"/>
            <w:tcBorders>
              <w:top w:val="single" w:color="auto" w:sz="6" w:space="0"/>
            </w:tcBorders>
            <w:vAlign w:val="center"/>
          </w:tcPr>
          <w:p w14:paraId="29DD72E6">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120</w:t>
            </w:r>
          </w:p>
        </w:tc>
        <w:tc>
          <w:tcPr>
            <w:tcW w:w="782" w:type="pct"/>
            <w:tcBorders>
              <w:top w:val="single" w:color="auto" w:sz="6" w:space="0"/>
            </w:tcBorders>
            <w:vAlign w:val="center"/>
          </w:tcPr>
          <w:p w14:paraId="2F8DB21B">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81</w:t>
            </w:r>
          </w:p>
        </w:tc>
        <w:tc>
          <w:tcPr>
            <w:tcW w:w="887" w:type="pct"/>
            <w:tcBorders>
              <w:top w:val="single" w:color="auto" w:sz="6" w:space="0"/>
            </w:tcBorders>
            <w:vAlign w:val="center"/>
          </w:tcPr>
          <w:p w14:paraId="69F67366">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39</w:t>
            </w:r>
          </w:p>
        </w:tc>
        <w:tc>
          <w:tcPr>
            <w:tcW w:w="778" w:type="pct"/>
            <w:tcBorders>
              <w:top w:val="single" w:color="auto" w:sz="6" w:space="0"/>
            </w:tcBorders>
            <w:vAlign w:val="center"/>
          </w:tcPr>
          <w:p w14:paraId="2EB5F5BC">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67.50</w:t>
            </w:r>
          </w:p>
        </w:tc>
        <w:tc>
          <w:tcPr>
            <w:tcW w:w="402" w:type="pct"/>
            <w:tcBorders>
              <w:top w:val="single" w:color="auto" w:sz="6" w:space="0"/>
            </w:tcBorders>
            <w:vAlign w:val="center"/>
          </w:tcPr>
          <w:p w14:paraId="15A0F36F">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p>
        </w:tc>
      </w:tr>
      <w:tr w14:paraId="5B19D085">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28" w:type="dxa"/>
            <w:bottom w:w="0" w:type="dxa"/>
            <w:right w:w="28" w:type="dxa"/>
          </w:tblCellMar>
        </w:tblPrEx>
        <w:trPr>
          <w:trHeight w:val="340" w:hRule="atLeast"/>
        </w:trPr>
        <w:tc>
          <w:tcPr>
            <w:tcW w:w="558" w:type="pct"/>
            <w:vMerge w:val="continue"/>
            <w:vAlign w:val="center"/>
          </w:tcPr>
          <w:p w14:paraId="6B4E351C">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p>
        </w:tc>
        <w:tc>
          <w:tcPr>
            <w:tcW w:w="811" w:type="pct"/>
            <w:vAlign w:val="center"/>
          </w:tcPr>
          <w:p w14:paraId="325851F5">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eastAsia" w:ascii="Times New Roman" w:hAnsi="Times New Roman" w:eastAsia="仿宋" w:cs="Times New Roman"/>
                <w:kern w:val="0"/>
                <w:sz w:val="21"/>
                <w:szCs w:val="21"/>
                <w:lang w:eastAsia="zh-CN"/>
              </w:rPr>
              <w:t>LS</w:t>
            </w:r>
          </w:p>
        </w:tc>
        <w:tc>
          <w:tcPr>
            <w:tcW w:w="782" w:type="pct"/>
            <w:vAlign w:val="center"/>
          </w:tcPr>
          <w:p w14:paraId="014CF54E">
            <w:pPr>
              <w:keepNext w:val="0"/>
              <w:keepLines w:val="0"/>
              <w:suppressLineNumbers w:val="0"/>
              <w:spacing w:before="0" w:beforeAutospacing="0" w:after="0" w:afterAutospacing="0" w:line="240" w:lineRule="auto"/>
              <w:ind w:left="0" w:right="0"/>
              <w:jc w:val="center"/>
              <w:rPr>
                <w:rFonts w:hint="eastAsia" w:ascii="Times New Roman" w:hAnsi="Times New Roman" w:eastAsia="仿宋" w:cs="Times New Roman"/>
                <w:kern w:val="0"/>
                <w:sz w:val="21"/>
                <w:szCs w:val="21"/>
                <w:lang w:val="en-US" w:eastAsia="zh-CN"/>
              </w:rPr>
            </w:pPr>
            <w:r>
              <w:rPr>
                <w:rFonts w:hint="default" w:ascii="Times New Roman" w:hAnsi="Times New Roman" w:eastAsia="仿宋" w:cs="Times New Roman"/>
                <w:kern w:val="0"/>
                <w:sz w:val="21"/>
                <w:szCs w:val="21"/>
              </w:rPr>
              <w:t>11</w:t>
            </w:r>
            <w:r>
              <w:rPr>
                <w:rFonts w:hint="eastAsia" w:ascii="Times New Roman" w:hAnsi="Times New Roman" w:eastAsia="仿宋" w:cs="Times New Roman"/>
                <w:kern w:val="0"/>
                <w:sz w:val="21"/>
                <w:szCs w:val="21"/>
                <w:lang w:val="en-US" w:eastAsia="zh-CN"/>
              </w:rPr>
              <w:t>9</w:t>
            </w:r>
          </w:p>
        </w:tc>
        <w:tc>
          <w:tcPr>
            <w:tcW w:w="782" w:type="pct"/>
            <w:vAlign w:val="center"/>
          </w:tcPr>
          <w:p w14:paraId="006B67E3">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100</w:t>
            </w:r>
          </w:p>
        </w:tc>
        <w:tc>
          <w:tcPr>
            <w:tcW w:w="887" w:type="pct"/>
            <w:vAlign w:val="center"/>
          </w:tcPr>
          <w:p w14:paraId="337D2BEF">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19</w:t>
            </w:r>
          </w:p>
        </w:tc>
        <w:tc>
          <w:tcPr>
            <w:tcW w:w="778" w:type="pct"/>
            <w:vAlign w:val="center"/>
          </w:tcPr>
          <w:p w14:paraId="640B4533">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83.90</w:t>
            </w:r>
          </w:p>
        </w:tc>
        <w:tc>
          <w:tcPr>
            <w:tcW w:w="402" w:type="pct"/>
            <w:vAlign w:val="center"/>
          </w:tcPr>
          <w:p w14:paraId="1F6AB120">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&lt;0.01</w:t>
            </w:r>
          </w:p>
        </w:tc>
      </w:tr>
      <w:tr w14:paraId="3C85A741">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28" w:type="dxa"/>
            <w:bottom w:w="0" w:type="dxa"/>
            <w:right w:w="28" w:type="dxa"/>
          </w:tblCellMar>
        </w:tblPrEx>
        <w:trPr>
          <w:trHeight w:val="340" w:hRule="atLeast"/>
        </w:trPr>
        <w:tc>
          <w:tcPr>
            <w:tcW w:w="558" w:type="pct"/>
            <w:vMerge w:val="continue"/>
            <w:vAlign w:val="center"/>
          </w:tcPr>
          <w:p w14:paraId="08616B7E">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p>
        </w:tc>
        <w:tc>
          <w:tcPr>
            <w:tcW w:w="811" w:type="pct"/>
            <w:tcBorders>
              <w:bottom w:val="single" w:color="auto" w:sz="6" w:space="0"/>
            </w:tcBorders>
            <w:vAlign w:val="center"/>
          </w:tcPr>
          <w:p w14:paraId="1C6566D7">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SKC法</w:t>
            </w:r>
          </w:p>
        </w:tc>
        <w:tc>
          <w:tcPr>
            <w:tcW w:w="782" w:type="pct"/>
            <w:tcBorders>
              <w:bottom w:val="single" w:color="auto" w:sz="6" w:space="0"/>
            </w:tcBorders>
            <w:vAlign w:val="center"/>
          </w:tcPr>
          <w:p w14:paraId="79270411">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40</w:t>
            </w:r>
          </w:p>
        </w:tc>
        <w:tc>
          <w:tcPr>
            <w:tcW w:w="782" w:type="pct"/>
            <w:tcBorders>
              <w:bottom w:val="single" w:color="auto" w:sz="6" w:space="0"/>
            </w:tcBorders>
            <w:vAlign w:val="center"/>
          </w:tcPr>
          <w:p w14:paraId="68D408B1">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34</w:t>
            </w:r>
          </w:p>
        </w:tc>
        <w:tc>
          <w:tcPr>
            <w:tcW w:w="887" w:type="pct"/>
            <w:tcBorders>
              <w:bottom w:val="single" w:color="auto" w:sz="6" w:space="0"/>
            </w:tcBorders>
            <w:vAlign w:val="center"/>
          </w:tcPr>
          <w:p w14:paraId="295E6CB5">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6</w:t>
            </w:r>
          </w:p>
        </w:tc>
        <w:tc>
          <w:tcPr>
            <w:tcW w:w="778" w:type="pct"/>
            <w:tcBorders>
              <w:bottom w:val="single" w:color="auto" w:sz="6" w:space="0"/>
            </w:tcBorders>
            <w:vAlign w:val="center"/>
          </w:tcPr>
          <w:p w14:paraId="267D1FA4">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85.00</w:t>
            </w:r>
          </w:p>
        </w:tc>
        <w:tc>
          <w:tcPr>
            <w:tcW w:w="402" w:type="pct"/>
            <w:tcBorders>
              <w:bottom w:val="single" w:color="auto" w:sz="6" w:space="0"/>
            </w:tcBorders>
            <w:vAlign w:val="center"/>
          </w:tcPr>
          <w:p w14:paraId="29339FC9">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0.042</w:t>
            </w:r>
          </w:p>
        </w:tc>
      </w:tr>
      <w:tr w14:paraId="2D253545">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28" w:type="dxa"/>
            <w:bottom w:w="0" w:type="dxa"/>
            <w:right w:w="28" w:type="dxa"/>
          </w:tblCellMar>
        </w:tblPrEx>
        <w:trPr>
          <w:trHeight w:val="340" w:hRule="atLeast"/>
        </w:trPr>
        <w:tc>
          <w:tcPr>
            <w:tcW w:w="558" w:type="pct"/>
            <w:vMerge w:val="restart"/>
          </w:tcPr>
          <w:p w14:paraId="6E6E3C28">
            <w:pPr>
              <w:keepNext w:val="0"/>
              <w:keepLines w:val="0"/>
              <w:suppressLineNumbers w:val="0"/>
              <w:spacing w:before="0" w:beforeAutospacing="0" w:after="0" w:afterAutospacing="0" w:line="240" w:lineRule="auto"/>
              <w:ind w:left="0" w:right="0"/>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真菌总数</w:t>
            </w:r>
          </w:p>
        </w:tc>
        <w:tc>
          <w:tcPr>
            <w:tcW w:w="811" w:type="pct"/>
            <w:tcBorders>
              <w:top w:val="single" w:color="auto" w:sz="6" w:space="0"/>
              <w:bottom w:val="nil"/>
            </w:tcBorders>
            <w:vAlign w:val="center"/>
          </w:tcPr>
          <w:p w14:paraId="1606B8AE">
            <w:pPr>
              <w:keepNext w:val="0"/>
              <w:keepLines w:val="0"/>
              <w:suppressLineNumbers w:val="0"/>
              <w:spacing w:before="0" w:beforeAutospacing="0" w:after="0" w:afterAutospacing="0" w:line="240" w:lineRule="auto"/>
              <w:ind w:left="0" w:right="0"/>
              <w:jc w:val="center"/>
              <w:rPr>
                <w:rFonts w:hint="eastAsia" w:ascii="Times New Roman" w:hAnsi="Times New Roman" w:eastAsia="仿宋" w:cs="Times New Roman"/>
                <w:kern w:val="0"/>
                <w:sz w:val="21"/>
                <w:szCs w:val="21"/>
                <w:lang w:eastAsia="zh-CN"/>
              </w:rPr>
            </w:pPr>
            <w:r>
              <w:rPr>
                <w:rFonts w:hint="eastAsia" w:ascii="Times New Roman" w:hAnsi="Times New Roman" w:eastAsia="仿宋" w:cs="Times New Roman"/>
                <w:kern w:val="0"/>
                <w:sz w:val="21"/>
                <w:szCs w:val="21"/>
                <w:lang w:eastAsia="zh-CN"/>
              </w:rPr>
              <w:t>大流量</w:t>
            </w:r>
          </w:p>
        </w:tc>
        <w:tc>
          <w:tcPr>
            <w:tcW w:w="782" w:type="pct"/>
            <w:tcBorders>
              <w:top w:val="single" w:color="auto" w:sz="6" w:space="0"/>
              <w:bottom w:val="nil"/>
            </w:tcBorders>
            <w:vAlign w:val="center"/>
          </w:tcPr>
          <w:p w14:paraId="1AE79F4A">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lang w:val="en-US" w:eastAsia="zh-CN"/>
              </w:rPr>
            </w:pPr>
            <w:r>
              <w:rPr>
                <w:rFonts w:hint="default" w:ascii="Times New Roman" w:hAnsi="Times New Roman" w:eastAsia="仿宋" w:cs="Times New Roman"/>
                <w:kern w:val="0"/>
                <w:sz w:val="21"/>
                <w:szCs w:val="21"/>
              </w:rPr>
              <w:t>1</w:t>
            </w:r>
            <w:r>
              <w:rPr>
                <w:rFonts w:hint="eastAsia" w:ascii="Times New Roman" w:hAnsi="Times New Roman" w:eastAsia="仿宋" w:cs="Times New Roman"/>
                <w:kern w:val="0"/>
                <w:sz w:val="21"/>
                <w:szCs w:val="21"/>
                <w:lang w:val="en-US" w:eastAsia="zh-CN"/>
              </w:rPr>
              <w:t>20</w:t>
            </w:r>
          </w:p>
        </w:tc>
        <w:tc>
          <w:tcPr>
            <w:tcW w:w="782" w:type="pct"/>
            <w:tcBorders>
              <w:top w:val="single" w:color="auto" w:sz="6" w:space="0"/>
              <w:bottom w:val="nil"/>
            </w:tcBorders>
            <w:vAlign w:val="center"/>
          </w:tcPr>
          <w:p w14:paraId="42D69693">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76</w:t>
            </w:r>
          </w:p>
        </w:tc>
        <w:tc>
          <w:tcPr>
            <w:tcW w:w="887" w:type="pct"/>
            <w:tcBorders>
              <w:top w:val="single" w:color="auto" w:sz="6" w:space="0"/>
              <w:bottom w:val="nil"/>
            </w:tcBorders>
            <w:vAlign w:val="center"/>
          </w:tcPr>
          <w:p w14:paraId="3D5B6430">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44</w:t>
            </w:r>
          </w:p>
        </w:tc>
        <w:tc>
          <w:tcPr>
            <w:tcW w:w="778" w:type="pct"/>
            <w:tcBorders>
              <w:top w:val="single" w:color="auto" w:sz="6" w:space="0"/>
              <w:bottom w:val="nil"/>
            </w:tcBorders>
            <w:vAlign w:val="center"/>
          </w:tcPr>
          <w:p w14:paraId="761F56A8">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63.03</w:t>
            </w:r>
          </w:p>
        </w:tc>
        <w:tc>
          <w:tcPr>
            <w:tcW w:w="402" w:type="pct"/>
            <w:tcBorders>
              <w:top w:val="single" w:color="auto" w:sz="6" w:space="0"/>
              <w:bottom w:val="nil"/>
            </w:tcBorders>
            <w:vAlign w:val="center"/>
          </w:tcPr>
          <w:p w14:paraId="2B4C6757">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p>
        </w:tc>
      </w:tr>
      <w:tr w14:paraId="69D8266B">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28" w:type="dxa"/>
            <w:bottom w:w="0" w:type="dxa"/>
            <w:right w:w="28" w:type="dxa"/>
          </w:tblCellMar>
        </w:tblPrEx>
        <w:trPr>
          <w:trHeight w:val="340" w:hRule="atLeast"/>
        </w:trPr>
        <w:tc>
          <w:tcPr>
            <w:tcW w:w="558" w:type="pct"/>
            <w:vMerge w:val="continue"/>
            <w:vAlign w:val="center"/>
          </w:tcPr>
          <w:p w14:paraId="0779688B">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p>
        </w:tc>
        <w:tc>
          <w:tcPr>
            <w:tcW w:w="811" w:type="pct"/>
            <w:tcBorders>
              <w:top w:val="nil"/>
            </w:tcBorders>
            <w:vAlign w:val="center"/>
          </w:tcPr>
          <w:p w14:paraId="57AC531E">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eastAsia" w:ascii="Times New Roman" w:hAnsi="Times New Roman" w:eastAsia="仿宋" w:cs="Times New Roman"/>
                <w:kern w:val="0"/>
                <w:sz w:val="21"/>
                <w:szCs w:val="21"/>
                <w:lang w:eastAsia="zh-CN"/>
              </w:rPr>
              <w:t>LS</w:t>
            </w:r>
          </w:p>
        </w:tc>
        <w:tc>
          <w:tcPr>
            <w:tcW w:w="782" w:type="pct"/>
            <w:tcBorders>
              <w:top w:val="nil"/>
            </w:tcBorders>
            <w:vAlign w:val="center"/>
          </w:tcPr>
          <w:p w14:paraId="08FD8FB3">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120</w:t>
            </w:r>
          </w:p>
        </w:tc>
        <w:tc>
          <w:tcPr>
            <w:tcW w:w="782" w:type="pct"/>
            <w:tcBorders>
              <w:top w:val="nil"/>
            </w:tcBorders>
            <w:vAlign w:val="center"/>
          </w:tcPr>
          <w:p w14:paraId="027E8BCA">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103</w:t>
            </w:r>
          </w:p>
        </w:tc>
        <w:tc>
          <w:tcPr>
            <w:tcW w:w="887" w:type="pct"/>
            <w:tcBorders>
              <w:top w:val="nil"/>
            </w:tcBorders>
            <w:vAlign w:val="center"/>
          </w:tcPr>
          <w:p w14:paraId="4BC57BFB">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17</w:t>
            </w:r>
          </w:p>
        </w:tc>
        <w:tc>
          <w:tcPr>
            <w:tcW w:w="778" w:type="pct"/>
            <w:tcBorders>
              <w:top w:val="nil"/>
            </w:tcBorders>
            <w:vAlign w:val="center"/>
          </w:tcPr>
          <w:p w14:paraId="72321D7B">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85.83</w:t>
            </w:r>
          </w:p>
        </w:tc>
        <w:tc>
          <w:tcPr>
            <w:tcW w:w="402" w:type="pct"/>
            <w:tcBorders>
              <w:top w:val="nil"/>
            </w:tcBorders>
            <w:vAlign w:val="center"/>
          </w:tcPr>
          <w:p w14:paraId="07A1EB9A">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&lt;0.01</w:t>
            </w:r>
          </w:p>
        </w:tc>
      </w:tr>
      <w:tr w14:paraId="6E2A8C8F">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28" w:type="dxa"/>
            <w:bottom w:w="0" w:type="dxa"/>
            <w:right w:w="28" w:type="dxa"/>
          </w:tblCellMar>
        </w:tblPrEx>
        <w:trPr>
          <w:trHeight w:val="340" w:hRule="atLeast"/>
        </w:trPr>
        <w:tc>
          <w:tcPr>
            <w:tcW w:w="558" w:type="pct"/>
            <w:vMerge w:val="continue"/>
            <w:vAlign w:val="center"/>
          </w:tcPr>
          <w:p w14:paraId="2446CEE9">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p>
        </w:tc>
        <w:tc>
          <w:tcPr>
            <w:tcW w:w="811" w:type="pct"/>
            <w:vAlign w:val="center"/>
          </w:tcPr>
          <w:p w14:paraId="4B7C73AC">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SKC法</w:t>
            </w:r>
          </w:p>
        </w:tc>
        <w:tc>
          <w:tcPr>
            <w:tcW w:w="782" w:type="pct"/>
            <w:vAlign w:val="center"/>
          </w:tcPr>
          <w:p w14:paraId="006E5BB7">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40</w:t>
            </w:r>
          </w:p>
        </w:tc>
        <w:tc>
          <w:tcPr>
            <w:tcW w:w="782" w:type="pct"/>
            <w:vAlign w:val="center"/>
          </w:tcPr>
          <w:p w14:paraId="24C120DF">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36</w:t>
            </w:r>
          </w:p>
        </w:tc>
        <w:tc>
          <w:tcPr>
            <w:tcW w:w="887" w:type="pct"/>
            <w:vAlign w:val="center"/>
          </w:tcPr>
          <w:p w14:paraId="2016D6FE">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4</w:t>
            </w:r>
          </w:p>
        </w:tc>
        <w:tc>
          <w:tcPr>
            <w:tcW w:w="778" w:type="pct"/>
            <w:vAlign w:val="center"/>
          </w:tcPr>
          <w:p w14:paraId="2742944C">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90.00</w:t>
            </w:r>
          </w:p>
        </w:tc>
        <w:tc>
          <w:tcPr>
            <w:tcW w:w="402" w:type="pct"/>
            <w:vAlign w:val="center"/>
          </w:tcPr>
          <w:p w14:paraId="403FE46A">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&lt;0.01</w:t>
            </w:r>
          </w:p>
        </w:tc>
      </w:tr>
    </w:tbl>
    <w:p w14:paraId="0C05F6CE">
      <w:pPr>
        <w:spacing w:line="240" w:lineRule="auto"/>
        <w:jc w:val="cente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表</w:t>
      </w:r>
      <w:r>
        <w:rPr>
          <w:rFonts w:hint="eastAsia" w:ascii="Times New Roman" w:hAnsi="Times New Roman" w:eastAsia="仿宋" w:cs="Times New Roman"/>
          <w:sz w:val="24"/>
          <w:szCs w:val="24"/>
          <w:lang w:val="en-US" w:eastAsia="zh-CN"/>
        </w:rPr>
        <w:t>2冬季</w:t>
      </w:r>
      <w:r>
        <w:rPr>
          <w:rFonts w:hint="eastAsia" w:ascii="Times New Roman" w:hAnsi="Times New Roman" w:eastAsia="仿宋" w:cs="Times New Roman"/>
          <w:sz w:val="24"/>
          <w:szCs w:val="24"/>
        </w:rPr>
        <w:t>三种方法采集样品的结果检出率卡方检验</w:t>
      </w:r>
    </w:p>
    <w:tbl>
      <w:tblPr>
        <w:tblStyle w:val="26"/>
        <w:tblW w:w="4997" w:type="pct"/>
        <w:tblInd w:w="0" w:type="dxa"/>
        <w:tblBorders>
          <w:top w:val="single" w:color="auto" w:sz="8" w:space="0"/>
          <w:left w:val="none" w:color="auto" w:sz="0" w:space="0"/>
          <w:bottom w:val="single" w:color="auto" w:sz="8" w:space="0"/>
          <w:right w:val="none" w:color="auto" w:sz="0" w:space="0"/>
          <w:insideH w:val="none" w:color="auto" w:sz="0" w:space="0"/>
          <w:insideV w:val="none" w:color="auto" w:sz="0" w:space="0"/>
        </w:tblBorders>
        <w:tblLayout w:type="autofit"/>
        <w:tblCellMar>
          <w:top w:w="0" w:type="dxa"/>
          <w:left w:w="28" w:type="dxa"/>
          <w:bottom w:w="0" w:type="dxa"/>
          <w:right w:w="28" w:type="dxa"/>
        </w:tblCellMar>
      </w:tblPr>
      <w:tblGrid>
        <w:gridCol w:w="932"/>
        <w:gridCol w:w="1356"/>
        <w:gridCol w:w="1307"/>
        <w:gridCol w:w="1307"/>
        <w:gridCol w:w="1483"/>
        <w:gridCol w:w="1300"/>
        <w:gridCol w:w="672"/>
      </w:tblGrid>
      <w:tr w14:paraId="6F2B85B8">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28" w:type="dxa"/>
            <w:bottom w:w="0" w:type="dxa"/>
            <w:right w:w="28" w:type="dxa"/>
          </w:tblCellMar>
        </w:tblPrEx>
        <w:trPr>
          <w:trHeight w:val="361" w:hRule="atLeast"/>
        </w:trPr>
        <w:tc>
          <w:tcPr>
            <w:tcW w:w="932" w:type="dxa"/>
            <w:tcBorders>
              <w:top w:val="single" w:color="auto" w:sz="8" w:space="0"/>
              <w:bottom w:val="single" w:color="auto" w:sz="6" w:space="0"/>
            </w:tcBorders>
            <w:vAlign w:val="center"/>
          </w:tcPr>
          <w:p w14:paraId="78554785">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指标</w:t>
            </w:r>
          </w:p>
        </w:tc>
        <w:tc>
          <w:tcPr>
            <w:tcW w:w="1356" w:type="dxa"/>
            <w:tcBorders>
              <w:top w:val="single" w:color="auto" w:sz="8" w:space="0"/>
              <w:bottom w:val="single" w:color="auto" w:sz="6" w:space="0"/>
            </w:tcBorders>
            <w:vAlign w:val="center"/>
          </w:tcPr>
          <w:p w14:paraId="4A86DF4E">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方法</w:t>
            </w:r>
          </w:p>
        </w:tc>
        <w:tc>
          <w:tcPr>
            <w:tcW w:w="1307" w:type="dxa"/>
            <w:tcBorders>
              <w:top w:val="single" w:color="auto" w:sz="8" w:space="0"/>
              <w:bottom w:val="single" w:color="auto" w:sz="6" w:space="0"/>
            </w:tcBorders>
            <w:vAlign w:val="center"/>
          </w:tcPr>
          <w:p w14:paraId="3F0A0266">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例数</w:t>
            </w:r>
          </w:p>
        </w:tc>
        <w:tc>
          <w:tcPr>
            <w:tcW w:w="1307" w:type="dxa"/>
            <w:tcBorders>
              <w:top w:val="single" w:color="auto" w:sz="8" w:space="0"/>
              <w:bottom w:val="single" w:color="auto" w:sz="6" w:space="0"/>
            </w:tcBorders>
            <w:vAlign w:val="center"/>
          </w:tcPr>
          <w:p w14:paraId="39DC232B">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检出例数</w:t>
            </w:r>
          </w:p>
        </w:tc>
        <w:tc>
          <w:tcPr>
            <w:tcW w:w="1483" w:type="dxa"/>
            <w:tcBorders>
              <w:top w:val="single" w:color="auto" w:sz="8" w:space="0"/>
              <w:bottom w:val="single" w:color="auto" w:sz="6" w:space="0"/>
            </w:tcBorders>
            <w:vAlign w:val="center"/>
          </w:tcPr>
          <w:p w14:paraId="1B3B2EC0">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未检出例数</w:t>
            </w:r>
          </w:p>
        </w:tc>
        <w:tc>
          <w:tcPr>
            <w:tcW w:w="1300" w:type="dxa"/>
            <w:tcBorders>
              <w:top w:val="single" w:color="auto" w:sz="8" w:space="0"/>
              <w:bottom w:val="single" w:color="auto" w:sz="6" w:space="0"/>
            </w:tcBorders>
            <w:vAlign w:val="center"/>
          </w:tcPr>
          <w:p w14:paraId="7B78BFCB">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检出率（%）</w:t>
            </w:r>
          </w:p>
        </w:tc>
        <w:tc>
          <w:tcPr>
            <w:tcW w:w="672" w:type="dxa"/>
            <w:tcBorders>
              <w:top w:val="single" w:color="auto" w:sz="8" w:space="0"/>
              <w:bottom w:val="single" w:color="auto" w:sz="6" w:space="0"/>
            </w:tcBorders>
            <w:vAlign w:val="center"/>
          </w:tcPr>
          <w:p w14:paraId="19179F64">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i/>
                <w:iCs/>
                <w:kern w:val="0"/>
                <w:sz w:val="21"/>
                <w:szCs w:val="21"/>
              </w:rPr>
              <w:t>P</w:t>
            </w:r>
            <w:r>
              <w:rPr>
                <w:rFonts w:hint="default" w:ascii="Times New Roman" w:hAnsi="Times New Roman" w:eastAsia="仿宋" w:cs="Times New Roman"/>
                <w:kern w:val="0"/>
                <w:sz w:val="21"/>
                <w:szCs w:val="21"/>
              </w:rPr>
              <w:t>值</w:t>
            </w:r>
          </w:p>
        </w:tc>
      </w:tr>
      <w:tr w14:paraId="4203EE50">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28" w:type="dxa"/>
            <w:bottom w:w="0" w:type="dxa"/>
            <w:right w:w="28" w:type="dxa"/>
          </w:tblCellMar>
        </w:tblPrEx>
        <w:trPr>
          <w:trHeight w:val="356" w:hRule="atLeast"/>
        </w:trPr>
        <w:tc>
          <w:tcPr>
            <w:tcW w:w="932" w:type="dxa"/>
            <w:vMerge w:val="restart"/>
            <w:tcBorders>
              <w:top w:val="single" w:color="auto" w:sz="6" w:space="0"/>
            </w:tcBorders>
            <w:vAlign w:val="top"/>
          </w:tcPr>
          <w:p w14:paraId="1667995A">
            <w:pPr>
              <w:keepNext w:val="0"/>
              <w:keepLines w:val="0"/>
              <w:suppressLineNumbers w:val="0"/>
              <w:spacing w:before="0" w:beforeAutospacing="0" w:after="0" w:afterAutospacing="0" w:line="240" w:lineRule="auto"/>
              <w:ind w:left="0" w:right="0"/>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细菌总数</w:t>
            </w:r>
          </w:p>
        </w:tc>
        <w:tc>
          <w:tcPr>
            <w:tcW w:w="1356" w:type="dxa"/>
            <w:tcBorders>
              <w:top w:val="single" w:color="auto" w:sz="6" w:space="0"/>
            </w:tcBorders>
            <w:vAlign w:val="center"/>
          </w:tcPr>
          <w:p w14:paraId="2C15E109">
            <w:pPr>
              <w:keepNext w:val="0"/>
              <w:keepLines w:val="0"/>
              <w:suppressLineNumbers w:val="0"/>
              <w:spacing w:before="0" w:beforeAutospacing="0" w:after="0" w:afterAutospacing="0" w:line="240" w:lineRule="auto"/>
              <w:ind w:left="0" w:right="0"/>
              <w:jc w:val="center"/>
              <w:rPr>
                <w:rFonts w:hint="eastAsia" w:ascii="Times New Roman" w:hAnsi="Times New Roman" w:eastAsia="仿宋" w:cs="Times New Roman"/>
                <w:kern w:val="0"/>
                <w:sz w:val="21"/>
                <w:szCs w:val="21"/>
                <w:lang w:eastAsia="zh-CN"/>
              </w:rPr>
            </w:pPr>
            <w:r>
              <w:rPr>
                <w:rFonts w:hint="eastAsia" w:ascii="Times New Roman" w:hAnsi="Times New Roman" w:eastAsia="仿宋" w:cs="Times New Roman"/>
                <w:kern w:val="0"/>
                <w:sz w:val="21"/>
                <w:szCs w:val="21"/>
                <w:lang w:eastAsia="zh-CN"/>
              </w:rPr>
              <w:t>大流量</w:t>
            </w:r>
          </w:p>
        </w:tc>
        <w:tc>
          <w:tcPr>
            <w:tcW w:w="1307" w:type="dxa"/>
            <w:tcBorders>
              <w:top w:val="single" w:color="auto" w:sz="6" w:space="0"/>
            </w:tcBorders>
            <w:vAlign w:val="center"/>
          </w:tcPr>
          <w:p w14:paraId="4907B26A">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w:t>
            </w:r>
            <w:r>
              <w:rPr>
                <w:rFonts w:hint="eastAsia" w:ascii="Times New Roman" w:hAnsi="Times New Roman" w:eastAsia="仿宋" w:cs="Times New Roman"/>
                <w:kern w:val="0"/>
                <w:sz w:val="21"/>
                <w:szCs w:val="21"/>
                <w:lang w:val="en-US" w:eastAsia="zh-CN"/>
              </w:rPr>
              <w:t>32</w:t>
            </w:r>
          </w:p>
        </w:tc>
        <w:tc>
          <w:tcPr>
            <w:tcW w:w="1307" w:type="dxa"/>
            <w:tcBorders>
              <w:top w:val="single" w:color="auto" w:sz="6" w:space="0"/>
            </w:tcBorders>
            <w:vAlign w:val="center"/>
          </w:tcPr>
          <w:p w14:paraId="085279FE">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eastAsia" w:ascii="Times New Roman" w:hAnsi="Times New Roman" w:eastAsia="仿宋" w:cs="Times New Roman"/>
                <w:kern w:val="0"/>
                <w:sz w:val="21"/>
                <w:szCs w:val="21"/>
                <w:lang w:val="en-US" w:eastAsia="zh-CN"/>
              </w:rPr>
              <w:t>86</w:t>
            </w:r>
          </w:p>
        </w:tc>
        <w:tc>
          <w:tcPr>
            <w:tcW w:w="1483" w:type="dxa"/>
            <w:tcBorders>
              <w:top w:val="single" w:color="auto" w:sz="6" w:space="0"/>
            </w:tcBorders>
            <w:vAlign w:val="center"/>
          </w:tcPr>
          <w:p w14:paraId="2E787BDF">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eastAsia" w:ascii="Times New Roman" w:hAnsi="Times New Roman" w:eastAsia="仿宋" w:cs="Times New Roman"/>
                <w:kern w:val="0"/>
                <w:sz w:val="21"/>
                <w:szCs w:val="21"/>
                <w:lang w:val="en-US" w:eastAsia="zh-CN"/>
              </w:rPr>
              <w:t>46</w:t>
            </w:r>
          </w:p>
        </w:tc>
        <w:tc>
          <w:tcPr>
            <w:tcW w:w="1300" w:type="dxa"/>
            <w:tcBorders>
              <w:top w:val="single" w:color="auto" w:sz="6" w:space="0"/>
            </w:tcBorders>
            <w:vAlign w:val="center"/>
          </w:tcPr>
          <w:p w14:paraId="6EE39E5D">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6</w:t>
            </w:r>
            <w:r>
              <w:rPr>
                <w:rFonts w:hint="eastAsia" w:ascii="Times New Roman" w:hAnsi="Times New Roman" w:eastAsia="仿宋" w:cs="Times New Roman"/>
                <w:kern w:val="0"/>
                <w:sz w:val="21"/>
                <w:szCs w:val="21"/>
                <w:lang w:val="en-US" w:eastAsia="zh-CN"/>
              </w:rPr>
              <w:t>5.15</w:t>
            </w:r>
          </w:p>
        </w:tc>
        <w:tc>
          <w:tcPr>
            <w:tcW w:w="672" w:type="dxa"/>
            <w:tcBorders>
              <w:top w:val="single" w:color="auto" w:sz="6" w:space="0"/>
            </w:tcBorders>
            <w:vAlign w:val="center"/>
          </w:tcPr>
          <w:p w14:paraId="3032BA6A">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p>
        </w:tc>
      </w:tr>
      <w:tr w14:paraId="52B2FDD1">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28" w:type="dxa"/>
            <w:bottom w:w="0" w:type="dxa"/>
            <w:right w:w="28" w:type="dxa"/>
          </w:tblCellMar>
        </w:tblPrEx>
        <w:trPr>
          <w:trHeight w:val="341" w:hRule="atLeast"/>
        </w:trPr>
        <w:tc>
          <w:tcPr>
            <w:tcW w:w="932" w:type="dxa"/>
            <w:vMerge w:val="continue"/>
            <w:vAlign w:val="center"/>
          </w:tcPr>
          <w:p w14:paraId="3D7E01B4">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p>
        </w:tc>
        <w:tc>
          <w:tcPr>
            <w:tcW w:w="1356" w:type="dxa"/>
            <w:vAlign w:val="center"/>
          </w:tcPr>
          <w:p w14:paraId="564547DE">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eastAsia" w:ascii="Times New Roman" w:hAnsi="Times New Roman" w:eastAsia="仿宋" w:cs="Times New Roman"/>
                <w:kern w:val="0"/>
                <w:sz w:val="21"/>
                <w:szCs w:val="21"/>
                <w:lang w:eastAsia="zh-CN"/>
              </w:rPr>
              <w:t>LS</w:t>
            </w:r>
          </w:p>
        </w:tc>
        <w:tc>
          <w:tcPr>
            <w:tcW w:w="1307" w:type="dxa"/>
            <w:vAlign w:val="center"/>
          </w:tcPr>
          <w:p w14:paraId="7E514484">
            <w:pPr>
              <w:keepNext w:val="0"/>
              <w:keepLines w:val="0"/>
              <w:suppressLineNumbers w:val="0"/>
              <w:spacing w:before="0" w:beforeAutospacing="0" w:after="0" w:afterAutospacing="0" w:line="240" w:lineRule="auto"/>
              <w:ind w:left="0" w:right="0"/>
              <w:jc w:val="center"/>
              <w:rPr>
                <w:rFonts w:hint="eastAsia" w:ascii="Times New Roman" w:hAnsi="Times New Roman" w:eastAsia="仿宋" w:cs="Times New Roman"/>
                <w:kern w:val="0"/>
                <w:sz w:val="21"/>
                <w:szCs w:val="21"/>
                <w:lang w:val="en-US" w:eastAsia="zh-CN"/>
              </w:rPr>
            </w:pPr>
            <w:r>
              <w:rPr>
                <w:rFonts w:hint="default" w:ascii="Times New Roman" w:hAnsi="Times New Roman" w:eastAsia="仿宋" w:cs="Times New Roman"/>
                <w:kern w:val="0"/>
                <w:sz w:val="21"/>
                <w:szCs w:val="21"/>
              </w:rPr>
              <w:t>1</w:t>
            </w:r>
            <w:r>
              <w:rPr>
                <w:rFonts w:hint="eastAsia" w:ascii="Times New Roman" w:hAnsi="Times New Roman" w:eastAsia="仿宋" w:cs="Times New Roman"/>
                <w:kern w:val="0"/>
                <w:sz w:val="21"/>
                <w:szCs w:val="21"/>
                <w:lang w:val="en-US" w:eastAsia="zh-CN"/>
              </w:rPr>
              <w:t>32</w:t>
            </w:r>
          </w:p>
        </w:tc>
        <w:tc>
          <w:tcPr>
            <w:tcW w:w="1307" w:type="dxa"/>
            <w:vAlign w:val="center"/>
          </w:tcPr>
          <w:p w14:paraId="31AE5945">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95</w:t>
            </w:r>
          </w:p>
        </w:tc>
        <w:tc>
          <w:tcPr>
            <w:tcW w:w="1483" w:type="dxa"/>
            <w:vAlign w:val="center"/>
          </w:tcPr>
          <w:p w14:paraId="6D824306">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eastAsia" w:ascii="Times New Roman" w:hAnsi="Times New Roman" w:eastAsia="仿宋" w:cs="Times New Roman"/>
                <w:kern w:val="0"/>
                <w:sz w:val="21"/>
                <w:szCs w:val="21"/>
                <w:lang w:val="en-US" w:eastAsia="zh-CN"/>
              </w:rPr>
              <w:t>37</w:t>
            </w:r>
          </w:p>
        </w:tc>
        <w:tc>
          <w:tcPr>
            <w:tcW w:w="1300" w:type="dxa"/>
            <w:vAlign w:val="center"/>
          </w:tcPr>
          <w:p w14:paraId="5CA29F50">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eastAsia" w:ascii="Times New Roman" w:hAnsi="Times New Roman" w:eastAsia="仿宋" w:cs="Times New Roman"/>
                <w:kern w:val="0"/>
                <w:sz w:val="21"/>
                <w:szCs w:val="21"/>
                <w:lang w:val="en-US" w:eastAsia="zh-CN"/>
              </w:rPr>
              <w:t>71.97</w:t>
            </w:r>
          </w:p>
        </w:tc>
        <w:tc>
          <w:tcPr>
            <w:tcW w:w="672" w:type="dxa"/>
            <w:vAlign w:val="center"/>
          </w:tcPr>
          <w:p w14:paraId="34003538">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eastAsia" w:ascii="Times New Roman" w:hAnsi="Times New Roman" w:eastAsia="仿宋" w:cs="Times New Roman"/>
                <w:kern w:val="0"/>
                <w:sz w:val="21"/>
                <w:szCs w:val="21"/>
                <w:lang w:val="en-US" w:eastAsia="zh-CN"/>
              </w:rPr>
              <w:t>0.289</w:t>
            </w:r>
          </w:p>
        </w:tc>
      </w:tr>
      <w:tr w14:paraId="2E39D197">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28" w:type="dxa"/>
            <w:bottom w:w="0" w:type="dxa"/>
            <w:right w:w="28" w:type="dxa"/>
          </w:tblCellMar>
        </w:tblPrEx>
        <w:trPr>
          <w:trHeight w:val="341" w:hRule="atLeast"/>
        </w:trPr>
        <w:tc>
          <w:tcPr>
            <w:tcW w:w="932" w:type="dxa"/>
            <w:vMerge w:val="continue"/>
            <w:vAlign w:val="center"/>
          </w:tcPr>
          <w:p w14:paraId="40564FAB">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p>
        </w:tc>
        <w:tc>
          <w:tcPr>
            <w:tcW w:w="1356" w:type="dxa"/>
            <w:tcBorders>
              <w:bottom w:val="single" w:color="auto" w:sz="6" w:space="0"/>
            </w:tcBorders>
            <w:vAlign w:val="center"/>
          </w:tcPr>
          <w:p w14:paraId="66126D91">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SKC法</w:t>
            </w:r>
          </w:p>
        </w:tc>
        <w:tc>
          <w:tcPr>
            <w:tcW w:w="1307" w:type="dxa"/>
            <w:tcBorders>
              <w:bottom w:val="single" w:color="auto" w:sz="6" w:space="0"/>
            </w:tcBorders>
            <w:vAlign w:val="center"/>
          </w:tcPr>
          <w:p w14:paraId="434756E7">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eastAsia" w:ascii="Times New Roman" w:hAnsi="Times New Roman" w:eastAsia="仿宋" w:cs="Times New Roman"/>
                <w:kern w:val="0"/>
                <w:sz w:val="21"/>
                <w:szCs w:val="21"/>
                <w:lang w:val="en-US" w:eastAsia="zh-CN"/>
              </w:rPr>
              <w:t>44</w:t>
            </w:r>
          </w:p>
        </w:tc>
        <w:tc>
          <w:tcPr>
            <w:tcW w:w="1307" w:type="dxa"/>
            <w:tcBorders>
              <w:bottom w:val="single" w:color="auto" w:sz="6" w:space="0"/>
            </w:tcBorders>
            <w:vAlign w:val="center"/>
          </w:tcPr>
          <w:p w14:paraId="5F71674B">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eastAsia" w:ascii="Times New Roman" w:hAnsi="Times New Roman" w:eastAsia="仿宋" w:cs="Times New Roman"/>
                <w:kern w:val="0"/>
                <w:sz w:val="21"/>
                <w:szCs w:val="21"/>
                <w:lang w:val="en-US" w:eastAsia="zh-CN"/>
              </w:rPr>
              <w:t>31</w:t>
            </w:r>
          </w:p>
        </w:tc>
        <w:tc>
          <w:tcPr>
            <w:tcW w:w="1483" w:type="dxa"/>
            <w:tcBorders>
              <w:bottom w:val="single" w:color="auto" w:sz="6" w:space="0"/>
            </w:tcBorders>
            <w:vAlign w:val="center"/>
          </w:tcPr>
          <w:p w14:paraId="357F2F7D">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eastAsia" w:ascii="Times New Roman" w:hAnsi="Times New Roman" w:eastAsia="仿宋" w:cs="Times New Roman"/>
                <w:kern w:val="0"/>
                <w:sz w:val="21"/>
                <w:szCs w:val="21"/>
                <w:lang w:val="en-US" w:eastAsia="zh-CN"/>
              </w:rPr>
              <w:t>13</w:t>
            </w:r>
          </w:p>
        </w:tc>
        <w:tc>
          <w:tcPr>
            <w:tcW w:w="1300" w:type="dxa"/>
            <w:tcBorders>
              <w:bottom w:val="single" w:color="auto" w:sz="6" w:space="0"/>
            </w:tcBorders>
            <w:vAlign w:val="center"/>
          </w:tcPr>
          <w:p w14:paraId="08B9D020">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eastAsia" w:ascii="Times New Roman" w:hAnsi="Times New Roman" w:eastAsia="仿宋" w:cs="Times New Roman"/>
                <w:kern w:val="0"/>
                <w:sz w:val="21"/>
                <w:szCs w:val="21"/>
                <w:lang w:val="en-US" w:eastAsia="zh-CN"/>
              </w:rPr>
              <w:t>70.45</w:t>
            </w:r>
          </w:p>
        </w:tc>
        <w:tc>
          <w:tcPr>
            <w:tcW w:w="672" w:type="dxa"/>
            <w:tcBorders>
              <w:bottom w:val="single" w:color="auto" w:sz="6" w:space="0"/>
            </w:tcBorders>
            <w:vAlign w:val="center"/>
          </w:tcPr>
          <w:p w14:paraId="60385E07">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eastAsia" w:ascii="Times New Roman" w:hAnsi="Times New Roman" w:eastAsia="仿宋" w:cs="Times New Roman"/>
                <w:kern w:val="0"/>
                <w:sz w:val="21"/>
                <w:szCs w:val="21"/>
                <w:lang w:val="en-US" w:eastAsia="zh-CN"/>
              </w:rPr>
              <w:t>0.583</w:t>
            </w:r>
          </w:p>
        </w:tc>
      </w:tr>
      <w:tr w14:paraId="0CFA4842">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28" w:type="dxa"/>
            <w:bottom w:w="0" w:type="dxa"/>
            <w:right w:w="28" w:type="dxa"/>
          </w:tblCellMar>
        </w:tblPrEx>
        <w:trPr>
          <w:trHeight w:val="356" w:hRule="atLeast"/>
        </w:trPr>
        <w:tc>
          <w:tcPr>
            <w:tcW w:w="932" w:type="dxa"/>
            <w:vMerge w:val="restart"/>
            <w:vAlign w:val="top"/>
          </w:tcPr>
          <w:p w14:paraId="66246307">
            <w:pPr>
              <w:keepNext w:val="0"/>
              <w:keepLines w:val="0"/>
              <w:suppressLineNumbers w:val="0"/>
              <w:spacing w:before="0" w:beforeAutospacing="0" w:after="0" w:afterAutospacing="0" w:line="240" w:lineRule="auto"/>
              <w:ind w:left="0" w:right="0"/>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真菌总数</w:t>
            </w:r>
          </w:p>
        </w:tc>
        <w:tc>
          <w:tcPr>
            <w:tcW w:w="1356" w:type="dxa"/>
            <w:tcBorders>
              <w:top w:val="single" w:color="auto" w:sz="6" w:space="0"/>
              <w:bottom w:val="nil"/>
            </w:tcBorders>
            <w:vAlign w:val="center"/>
          </w:tcPr>
          <w:p w14:paraId="06424C40">
            <w:pPr>
              <w:keepNext w:val="0"/>
              <w:keepLines w:val="0"/>
              <w:suppressLineNumbers w:val="0"/>
              <w:spacing w:before="0" w:beforeAutospacing="0" w:after="0" w:afterAutospacing="0" w:line="240" w:lineRule="auto"/>
              <w:ind w:left="0" w:right="0"/>
              <w:jc w:val="center"/>
              <w:rPr>
                <w:rFonts w:hint="eastAsia" w:ascii="Times New Roman" w:hAnsi="Times New Roman" w:eastAsia="仿宋" w:cs="Times New Roman"/>
                <w:kern w:val="0"/>
                <w:sz w:val="21"/>
                <w:szCs w:val="21"/>
                <w:lang w:eastAsia="zh-CN"/>
              </w:rPr>
            </w:pPr>
            <w:r>
              <w:rPr>
                <w:rFonts w:hint="eastAsia" w:ascii="Times New Roman" w:hAnsi="Times New Roman" w:eastAsia="仿宋" w:cs="Times New Roman"/>
                <w:kern w:val="0"/>
                <w:sz w:val="21"/>
                <w:szCs w:val="21"/>
                <w:lang w:eastAsia="zh-CN"/>
              </w:rPr>
              <w:t>大流量</w:t>
            </w:r>
          </w:p>
        </w:tc>
        <w:tc>
          <w:tcPr>
            <w:tcW w:w="1307" w:type="dxa"/>
            <w:tcBorders>
              <w:top w:val="single" w:color="auto" w:sz="6" w:space="0"/>
              <w:bottom w:val="nil"/>
            </w:tcBorders>
            <w:vAlign w:val="center"/>
          </w:tcPr>
          <w:p w14:paraId="5DB0C35C">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lang w:val="en-US" w:eastAsia="zh-CN"/>
              </w:rPr>
            </w:pPr>
            <w:r>
              <w:rPr>
                <w:rFonts w:hint="default" w:ascii="Times New Roman" w:hAnsi="Times New Roman" w:eastAsia="仿宋" w:cs="Times New Roman"/>
                <w:kern w:val="0"/>
                <w:sz w:val="21"/>
                <w:szCs w:val="21"/>
              </w:rPr>
              <w:t>1</w:t>
            </w:r>
            <w:r>
              <w:rPr>
                <w:rFonts w:hint="eastAsia" w:ascii="Times New Roman" w:hAnsi="Times New Roman" w:eastAsia="仿宋" w:cs="Times New Roman"/>
                <w:kern w:val="0"/>
                <w:sz w:val="21"/>
                <w:szCs w:val="21"/>
                <w:lang w:val="en-US" w:eastAsia="zh-CN"/>
              </w:rPr>
              <w:t>32</w:t>
            </w:r>
          </w:p>
        </w:tc>
        <w:tc>
          <w:tcPr>
            <w:tcW w:w="1307" w:type="dxa"/>
            <w:tcBorders>
              <w:top w:val="single" w:color="auto" w:sz="6" w:space="0"/>
              <w:bottom w:val="nil"/>
            </w:tcBorders>
            <w:vAlign w:val="center"/>
          </w:tcPr>
          <w:p w14:paraId="2231E24B">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7</w:t>
            </w:r>
            <w:r>
              <w:rPr>
                <w:rFonts w:hint="eastAsia" w:ascii="Times New Roman" w:hAnsi="Times New Roman" w:eastAsia="仿宋" w:cs="Times New Roman"/>
                <w:kern w:val="0"/>
                <w:sz w:val="21"/>
                <w:szCs w:val="21"/>
                <w:lang w:val="en-US" w:eastAsia="zh-CN"/>
              </w:rPr>
              <w:t>7</w:t>
            </w:r>
          </w:p>
        </w:tc>
        <w:tc>
          <w:tcPr>
            <w:tcW w:w="1483" w:type="dxa"/>
            <w:tcBorders>
              <w:top w:val="single" w:color="auto" w:sz="6" w:space="0"/>
              <w:bottom w:val="nil"/>
            </w:tcBorders>
            <w:vAlign w:val="center"/>
          </w:tcPr>
          <w:p w14:paraId="016E3FD0">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eastAsia" w:ascii="Times New Roman" w:hAnsi="Times New Roman" w:eastAsia="仿宋" w:cs="Times New Roman"/>
                <w:kern w:val="0"/>
                <w:sz w:val="21"/>
                <w:szCs w:val="21"/>
                <w:lang w:val="en-US" w:eastAsia="zh-CN"/>
              </w:rPr>
              <w:t>55</w:t>
            </w:r>
          </w:p>
        </w:tc>
        <w:tc>
          <w:tcPr>
            <w:tcW w:w="1300" w:type="dxa"/>
            <w:tcBorders>
              <w:top w:val="single" w:color="auto" w:sz="6" w:space="0"/>
              <w:bottom w:val="nil"/>
            </w:tcBorders>
            <w:vAlign w:val="center"/>
          </w:tcPr>
          <w:p w14:paraId="6D0E1628">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eastAsia" w:ascii="Times New Roman" w:hAnsi="Times New Roman" w:eastAsia="仿宋" w:cs="Times New Roman"/>
                <w:kern w:val="0"/>
                <w:sz w:val="21"/>
                <w:szCs w:val="21"/>
                <w:lang w:val="en-US" w:eastAsia="zh-CN"/>
              </w:rPr>
              <w:t>58.3</w:t>
            </w:r>
            <w:r>
              <w:rPr>
                <w:rFonts w:hint="default" w:ascii="Times New Roman" w:hAnsi="Times New Roman" w:eastAsia="仿宋" w:cs="Times New Roman"/>
                <w:kern w:val="0"/>
                <w:sz w:val="21"/>
                <w:szCs w:val="21"/>
              </w:rPr>
              <w:t>3</w:t>
            </w:r>
          </w:p>
        </w:tc>
        <w:tc>
          <w:tcPr>
            <w:tcW w:w="672" w:type="dxa"/>
            <w:tcBorders>
              <w:top w:val="single" w:color="auto" w:sz="6" w:space="0"/>
              <w:bottom w:val="nil"/>
            </w:tcBorders>
            <w:vAlign w:val="center"/>
          </w:tcPr>
          <w:p w14:paraId="320F6578">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p>
        </w:tc>
      </w:tr>
      <w:tr w14:paraId="56AF2B1A">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28" w:type="dxa"/>
            <w:bottom w:w="0" w:type="dxa"/>
            <w:right w:w="28" w:type="dxa"/>
          </w:tblCellMar>
        </w:tblPrEx>
        <w:trPr>
          <w:trHeight w:val="341" w:hRule="atLeast"/>
        </w:trPr>
        <w:tc>
          <w:tcPr>
            <w:tcW w:w="932" w:type="dxa"/>
            <w:vMerge w:val="continue"/>
            <w:vAlign w:val="center"/>
          </w:tcPr>
          <w:p w14:paraId="160D4AC7">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p>
        </w:tc>
        <w:tc>
          <w:tcPr>
            <w:tcW w:w="1356" w:type="dxa"/>
            <w:tcBorders>
              <w:top w:val="nil"/>
            </w:tcBorders>
            <w:vAlign w:val="center"/>
          </w:tcPr>
          <w:p w14:paraId="518F90A4">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eastAsia" w:ascii="Times New Roman" w:hAnsi="Times New Roman" w:eastAsia="仿宋" w:cs="Times New Roman"/>
                <w:kern w:val="0"/>
                <w:sz w:val="21"/>
                <w:szCs w:val="21"/>
                <w:lang w:eastAsia="zh-CN"/>
              </w:rPr>
              <w:t>LS</w:t>
            </w:r>
          </w:p>
        </w:tc>
        <w:tc>
          <w:tcPr>
            <w:tcW w:w="1307" w:type="dxa"/>
            <w:tcBorders>
              <w:top w:val="nil"/>
            </w:tcBorders>
            <w:vAlign w:val="center"/>
          </w:tcPr>
          <w:p w14:paraId="38F25E72">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w:t>
            </w:r>
            <w:r>
              <w:rPr>
                <w:rFonts w:hint="eastAsia" w:ascii="Times New Roman" w:hAnsi="Times New Roman" w:eastAsia="仿宋" w:cs="Times New Roman"/>
                <w:kern w:val="0"/>
                <w:sz w:val="21"/>
                <w:szCs w:val="21"/>
                <w:lang w:val="en-US" w:eastAsia="zh-CN"/>
              </w:rPr>
              <w:t>32</w:t>
            </w:r>
          </w:p>
        </w:tc>
        <w:tc>
          <w:tcPr>
            <w:tcW w:w="1307" w:type="dxa"/>
            <w:tcBorders>
              <w:top w:val="nil"/>
            </w:tcBorders>
            <w:vAlign w:val="center"/>
          </w:tcPr>
          <w:p w14:paraId="7DF20BBA">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113</w:t>
            </w:r>
          </w:p>
        </w:tc>
        <w:tc>
          <w:tcPr>
            <w:tcW w:w="1483" w:type="dxa"/>
            <w:tcBorders>
              <w:top w:val="nil"/>
            </w:tcBorders>
            <w:vAlign w:val="center"/>
          </w:tcPr>
          <w:p w14:paraId="77F425F1">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w:t>
            </w:r>
            <w:r>
              <w:rPr>
                <w:rFonts w:hint="eastAsia" w:ascii="Times New Roman" w:hAnsi="Times New Roman" w:eastAsia="仿宋" w:cs="Times New Roman"/>
                <w:kern w:val="0"/>
                <w:sz w:val="21"/>
                <w:szCs w:val="21"/>
                <w:lang w:val="en-US" w:eastAsia="zh-CN"/>
              </w:rPr>
              <w:t>9</w:t>
            </w:r>
          </w:p>
        </w:tc>
        <w:tc>
          <w:tcPr>
            <w:tcW w:w="1300" w:type="dxa"/>
            <w:tcBorders>
              <w:top w:val="nil"/>
            </w:tcBorders>
            <w:vAlign w:val="center"/>
          </w:tcPr>
          <w:p w14:paraId="04A75203">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eastAsia" w:ascii="Times New Roman" w:hAnsi="Times New Roman" w:eastAsia="仿宋" w:cs="Times New Roman"/>
                <w:kern w:val="0"/>
                <w:sz w:val="21"/>
                <w:szCs w:val="21"/>
                <w:lang w:val="en-US" w:eastAsia="zh-CN"/>
              </w:rPr>
              <w:t>78.0</w:t>
            </w:r>
            <w:r>
              <w:rPr>
                <w:rFonts w:hint="default" w:ascii="Times New Roman" w:hAnsi="Times New Roman" w:eastAsia="仿宋" w:cs="Times New Roman"/>
                <w:kern w:val="0"/>
                <w:sz w:val="21"/>
                <w:szCs w:val="21"/>
              </w:rPr>
              <w:t>3</w:t>
            </w:r>
          </w:p>
        </w:tc>
        <w:tc>
          <w:tcPr>
            <w:tcW w:w="672" w:type="dxa"/>
            <w:tcBorders>
              <w:top w:val="nil"/>
            </w:tcBorders>
            <w:vAlign w:val="center"/>
          </w:tcPr>
          <w:p w14:paraId="5E4A7C20">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&lt;0.01</w:t>
            </w:r>
          </w:p>
        </w:tc>
      </w:tr>
      <w:tr w14:paraId="27B66460">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28" w:type="dxa"/>
            <w:bottom w:w="0" w:type="dxa"/>
            <w:right w:w="28" w:type="dxa"/>
          </w:tblCellMar>
        </w:tblPrEx>
        <w:trPr>
          <w:trHeight w:val="361" w:hRule="atLeast"/>
        </w:trPr>
        <w:tc>
          <w:tcPr>
            <w:tcW w:w="932" w:type="dxa"/>
            <w:vMerge w:val="continue"/>
            <w:vAlign w:val="center"/>
          </w:tcPr>
          <w:p w14:paraId="7C455A0C">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p>
        </w:tc>
        <w:tc>
          <w:tcPr>
            <w:tcW w:w="1356" w:type="dxa"/>
            <w:vAlign w:val="center"/>
          </w:tcPr>
          <w:p w14:paraId="52D964CC">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SKC法</w:t>
            </w:r>
          </w:p>
        </w:tc>
        <w:tc>
          <w:tcPr>
            <w:tcW w:w="1307" w:type="dxa"/>
            <w:vAlign w:val="center"/>
          </w:tcPr>
          <w:p w14:paraId="10DDE7D2">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eastAsia" w:ascii="Times New Roman" w:hAnsi="Times New Roman" w:eastAsia="仿宋" w:cs="Times New Roman"/>
                <w:kern w:val="0"/>
                <w:sz w:val="21"/>
                <w:szCs w:val="21"/>
                <w:lang w:val="en-US" w:eastAsia="zh-CN"/>
              </w:rPr>
              <w:t>44</w:t>
            </w:r>
          </w:p>
        </w:tc>
        <w:tc>
          <w:tcPr>
            <w:tcW w:w="1307" w:type="dxa"/>
            <w:vAlign w:val="center"/>
          </w:tcPr>
          <w:p w14:paraId="72C23E52">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3</w:t>
            </w:r>
            <w:r>
              <w:rPr>
                <w:rFonts w:hint="eastAsia" w:ascii="Times New Roman" w:hAnsi="Times New Roman" w:eastAsia="仿宋" w:cs="Times New Roman"/>
                <w:kern w:val="0"/>
                <w:sz w:val="21"/>
                <w:szCs w:val="21"/>
                <w:lang w:val="en-US" w:eastAsia="zh-CN"/>
              </w:rPr>
              <w:t>3</w:t>
            </w:r>
          </w:p>
        </w:tc>
        <w:tc>
          <w:tcPr>
            <w:tcW w:w="1483" w:type="dxa"/>
            <w:vAlign w:val="center"/>
          </w:tcPr>
          <w:p w14:paraId="13D50495">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eastAsia" w:ascii="Times New Roman" w:hAnsi="Times New Roman" w:eastAsia="仿宋" w:cs="Times New Roman"/>
                <w:kern w:val="0"/>
                <w:sz w:val="21"/>
                <w:szCs w:val="21"/>
                <w:lang w:val="en-US" w:eastAsia="zh-CN"/>
              </w:rPr>
              <w:t>11</w:t>
            </w:r>
          </w:p>
        </w:tc>
        <w:tc>
          <w:tcPr>
            <w:tcW w:w="1300" w:type="dxa"/>
            <w:vAlign w:val="center"/>
          </w:tcPr>
          <w:p w14:paraId="21A4CA3A">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eastAsia" w:ascii="Times New Roman" w:hAnsi="Times New Roman" w:eastAsia="仿宋" w:cs="Times New Roman"/>
                <w:kern w:val="0"/>
                <w:sz w:val="21"/>
                <w:szCs w:val="21"/>
                <w:lang w:val="en-US" w:eastAsia="zh-CN"/>
              </w:rPr>
              <w:t>75.</w:t>
            </w:r>
            <w:r>
              <w:rPr>
                <w:rFonts w:hint="default" w:ascii="Times New Roman" w:hAnsi="Times New Roman" w:eastAsia="仿宋" w:cs="Times New Roman"/>
                <w:kern w:val="0"/>
                <w:sz w:val="21"/>
                <w:szCs w:val="21"/>
              </w:rPr>
              <w:t>00</w:t>
            </w:r>
          </w:p>
        </w:tc>
        <w:tc>
          <w:tcPr>
            <w:tcW w:w="672" w:type="dxa"/>
            <w:vAlign w:val="center"/>
          </w:tcPr>
          <w:p w14:paraId="17F08CCB">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eastAsia" w:ascii="Times New Roman" w:hAnsi="Times New Roman" w:eastAsia="仿宋" w:cs="Times New Roman"/>
                <w:kern w:val="0"/>
                <w:sz w:val="21"/>
                <w:szCs w:val="21"/>
                <w:lang w:val="en-US" w:eastAsia="zh-CN"/>
              </w:rPr>
              <w:t>0.050</w:t>
            </w:r>
          </w:p>
        </w:tc>
      </w:tr>
    </w:tbl>
    <w:p w14:paraId="651D5F6F">
      <w:pPr>
        <w:spacing w:line="240" w:lineRule="auto"/>
        <w:jc w:val="cente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表</w:t>
      </w:r>
      <w:r>
        <w:rPr>
          <w:rFonts w:hint="eastAsia" w:ascii="Times New Roman" w:hAnsi="Times New Roman" w:eastAsia="仿宋" w:cs="Times New Roman"/>
          <w:sz w:val="24"/>
          <w:szCs w:val="24"/>
          <w:lang w:val="en-US" w:eastAsia="zh-CN"/>
        </w:rPr>
        <w:t>3</w:t>
      </w:r>
      <w:r>
        <w:rPr>
          <w:rFonts w:hint="eastAsia" w:ascii="Times New Roman" w:hAnsi="Times New Roman" w:eastAsia="仿宋" w:cs="Times New Roman"/>
          <w:sz w:val="24"/>
          <w:szCs w:val="24"/>
        </w:rPr>
        <w:t>三种方法</w:t>
      </w:r>
      <w:r>
        <w:rPr>
          <w:rFonts w:hint="eastAsia" w:ascii="Times New Roman" w:hAnsi="Times New Roman" w:eastAsia="仿宋" w:cs="Times New Roman"/>
          <w:sz w:val="24"/>
          <w:szCs w:val="24"/>
          <w:lang w:val="en-US" w:eastAsia="zh-CN"/>
        </w:rPr>
        <w:t>夏冬两季</w:t>
      </w:r>
      <w:r>
        <w:rPr>
          <w:rFonts w:hint="eastAsia" w:ascii="Times New Roman" w:hAnsi="Times New Roman" w:eastAsia="仿宋" w:cs="Times New Roman"/>
          <w:sz w:val="24"/>
          <w:szCs w:val="24"/>
        </w:rPr>
        <w:t>采集样品</w:t>
      </w:r>
      <w:r>
        <w:rPr>
          <w:rFonts w:hint="eastAsia" w:ascii="Times New Roman" w:hAnsi="Times New Roman" w:eastAsia="仿宋" w:cs="Times New Roman"/>
          <w:sz w:val="24"/>
          <w:szCs w:val="24"/>
          <w:lang w:val="en-US" w:eastAsia="zh-CN"/>
        </w:rPr>
        <w:t>细菌总数</w:t>
      </w:r>
      <w:r>
        <w:rPr>
          <w:rFonts w:hint="eastAsia" w:ascii="Times New Roman" w:hAnsi="Times New Roman" w:eastAsia="仿宋" w:cs="Times New Roman"/>
          <w:sz w:val="24"/>
          <w:szCs w:val="24"/>
        </w:rPr>
        <w:t>结果检出率卡方检验</w:t>
      </w:r>
    </w:p>
    <w:tbl>
      <w:tblPr>
        <w:tblStyle w:val="26"/>
        <w:tblW w:w="5001" w:type="pct"/>
        <w:tblInd w:w="0" w:type="dxa"/>
        <w:tblBorders>
          <w:top w:val="single" w:color="auto" w:sz="8" w:space="0"/>
          <w:left w:val="none" w:color="auto" w:sz="0" w:space="0"/>
          <w:bottom w:val="single" w:color="auto" w:sz="8" w:space="0"/>
          <w:right w:val="none" w:color="auto" w:sz="0" w:space="0"/>
          <w:insideH w:val="none" w:color="auto" w:sz="0" w:space="0"/>
          <w:insideV w:val="none" w:color="auto" w:sz="0" w:space="0"/>
        </w:tblBorders>
        <w:tblLayout w:type="autofit"/>
        <w:tblCellMar>
          <w:top w:w="0" w:type="dxa"/>
          <w:left w:w="28" w:type="dxa"/>
          <w:bottom w:w="0" w:type="dxa"/>
          <w:right w:w="28" w:type="dxa"/>
        </w:tblCellMar>
      </w:tblPr>
      <w:tblGrid>
        <w:gridCol w:w="1386"/>
        <w:gridCol w:w="903"/>
        <w:gridCol w:w="1308"/>
        <w:gridCol w:w="1308"/>
        <w:gridCol w:w="1485"/>
        <w:gridCol w:w="1301"/>
        <w:gridCol w:w="673"/>
      </w:tblGrid>
      <w:tr w14:paraId="2912FDB1">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28" w:type="dxa"/>
            <w:bottom w:w="0" w:type="dxa"/>
            <w:right w:w="28" w:type="dxa"/>
          </w:tblCellMar>
        </w:tblPrEx>
        <w:trPr>
          <w:trHeight w:val="340" w:hRule="atLeast"/>
        </w:trPr>
        <w:tc>
          <w:tcPr>
            <w:tcW w:w="828" w:type="pct"/>
            <w:tcBorders>
              <w:top w:val="single" w:color="auto" w:sz="8" w:space="0"/>
              <w:bottom w:val="single" w:color="auto" w:sz="6" w:space="0"/>
            </w:tcBorders>
            <w:vAlign w:val="center"/>
          </w:tcPr>
          <w:p w14:paraId="56DDEF62">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指标</w:t>
            </w:r>
          </w:p>
        </w:tc>
        <w:tc>
          <w:tcPr>
            <w:tcW w:w="539" w:type="pct"/>
            <w:tcBorders>
              <w:top w:val="single" w:color="auto" w:sz="8" w:space="0"/>
              <w:bottom w:val="single" w:color="auto" w:sz="6" w:space="0"/>
            </w:tcBorders>
            <w:vAlign w:val="center"/>
          </w:tcPr>
          <w:p w14:paraId="79809495">
            <w:pPr>
              <w:keepNext w:val="0"/>
              <w:keepLines w:val="0"/>
              <w:suppressLineNumbers w:val="0"/>
              <w:spacing w:before="0" w:beforeAutospacing="0" w:after="0" w:afterAutospacing="0" w:line="240" w:lineRule="auto"/>
              <w:ind w:left="0" w:right="0"/>
              <w:jc w:val="center"/>
              <w:rPr>
                <w:rFonts w:hint="eastAsia" w:ascii="Times New Roman" w:hAnsi="Times New Roman" w:eastAsia="仿宋" w:cs="Times New Roman"/>
                <w:kern w:val="0"/>
                <w:sz w:val="21"/>
                <w:szCs w:val="21"/>
                <w:lang w:eastAsia="zh-CN"/>
              </w:rPr>
            </w:pPr>
            <w:r>
              <w:rPr>
                <w:rFonts w:hint="eastAsia" w:ascii="Times New Roman" w:hAnsi="Times New Roman" w:eastAsia="仿宋" w:cs="Times New Roman"/>
                <w:kern w:val="0"/>
                <w:sz w:val="21"/>
                <w:szCs w:val="21"/>
                <w:lang w:val="en-US" w:eastAsia="zh-CN"/>
              </w:rPr>
              <w:t>季节</w:t>
            </w:r>
          </w:p>
        </w:tc>
        <w:tc>
          <w:tcPr>
            <w:tcW w:w="781" w:type="pct"/>
            <w:tcBorders>
              <w:top w:val="single" w:color="auto" w:sz="8" w:space="0"/>
              <w:bottom w:val="single" w:color="auto" w:sz="6" w:space="0"/>
            </w:tcBorders>
            <w:vAlign w:val="center"/>
          </w:tcPr>
          <w:p w14:paraId="7412510C">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例数</w:t>
            </w:r>
          </w:p>
        </w:tc>
        <w:tc>
          <w:tcPr>
            <w:tcW w:w="781" w:type="pct"/>
            <w:tcBorders>
              <w:top w:val="single" w:color="auto" w:sz="8" w:space="0"/>
              <w:bottom w:val="single" w:color="auto" w:sz="6" w:space="0"/>
            </w:tcBorders>
            <w:vAlign w:val="center"/>
          </w:tcPr>
          <w:p w14:paraId="51CFC092">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检出例数</w:t>
            </w:r>
          </w:p>
        </w:tc>
        <w:tc>
          <w:tcPr>
            <w:tcW w:w="887" w:type="pct"/>
            <w:tcBorders>
              <w:top w:val="single" w:color="auto" w:sz="8" w:space="0"/>
              <w:bottom w:val="single" w:color="auto" w:sz="6" w:space="0"/>
            </w:tcBorders>
            <w:vAlign w:val="center"/>
          </w:tcPr>
          <w:p w14:paraId="132C950C">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未检出例数</w:t>
            </w:r>
          </w:p>
        </w:tc>
        <w:tc>
          <w:tcPr>
            <w:tcW w:w="777" w:type="pct"/>
            <w:tcBorders>
              <w:top w:val="single" w:color="auto" w:sz="8" w:space="0"/>
              <w:bottom w:val="single" w:color="auto" w:sz="6" w:space="0"/>
            </w:tcBorders>
            <w:vAlign w:val="center"/>
          </w:tcPr>
          <w:p w14:paraId="4652F395">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检出率（%）</w:t>
            </w:r>
          </w:p>
        </w:tc>
        <w:tc>
          <w:tcPr>
            <w:tcW w:w="402" w:type="pct"/>
            <w:tcBorders>
              <w:top w:val="single" w:color="auto" w:sz="8" w:space="0"/>
              <w:bottom w:val="single" w:color="auto" w:sz="6" w:space="0"/>
            </w:tcBorders>
            <w:vAlign w:val="center"/>
          </w:tcPr>
          <w:p w14:paraId="01C25260">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i/>
                <w:iCs/>
                <w:kern w:val="0"/>
                <w:sz w:val="21"/>
                <w:szCs w:val="21"/>
              </w:rPr>
              <w:t>P</w:t>
            </w:r>
            <w:r>
              <w:rPr>
                <w:rFonts w:hint="default" w:ascii="Times New Roman" w:hAnsi="Times New Roman" w:eastAsia="仿宋" w:cs="Times New Roman"/>
                <w:kern w:val="0"/>
                <w:sz w:val="21"/>
                <w:szCs w:val="21"/>
              </w:rPr>
              <w:t>值</w:t>
            </w:r>
          </w:p>
        </w:tc>
      </w:tr>
      <w:tr w14:paraId="035E31E1">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28" w:type="dxa"/>
            <w:bottom w:w="0" w:type="dxa"/>
            <w:right w:w="28" w:type="dxa"/>
          </w:tblCellMar>
        </w:tblPrEx>
        <w:trPr>
          <w:trHeight w:val="340" w:hRule="atLeast"/>
        </w:trPr>
        <w:tc>
          <w:tcPr>
            <w:tcW w:w="828" w:type="pct"/>
            <w:vMerge w:val="restart"/>
            <w:tcBorders>
              <w:top w:val="single" w:color="auto" w:sz="6" w:space="0"/>
            </w:tcBorders>
          </w:tcPr>
          <w:p w14:paraId="3545D656">
            <w:pPr>
              <w:keepNext w:val="0"/>
              <w:keepLines w:val="0"/>
              <w:suppressLineNumbers w:val="0"/>
              <w:spacing w:before="0" w:beforeAutospacing="0" w:after="0" w:afterAutospacing="0" w:line="240" w:lineRule="auto"/>
              <w:ind w:left="0" w:right="0"/>
              <w:rPr>
                <w:rFonts w:hint="eastAsia" w:ascii="Times New Roman" w:hAnsi="Times New Roman" w:eastAsia="仿宋" w:cs="Times New Roman"/>
                <w:kern w:val="0"/>
                <w:sz w:val="21"/>
                <w:szCs w:val="21"/>
                <w:lang w:eastAsia="zh-CN"/>
              </w:rPr>
            </w:pPr>
            <w:r>
              <w:rPr>
                <w:rFonts w:hint="eastAsia" w:ascii="Times New Roman" w:hAnsi="Times New Roman" w:eastAsia="仿宋" w:cs="Times New Roman"/>
                <w:kern w:val="0"/>
                <w:sz w:val="21"/>
                <w:szCs w:val="21"/>
                <w:lang w:eastAsia="zh-CN"/>
              </w:rPr>
              <w:t>大流量</w:t>
            </w:r>
          </w:p>
        </w:tc>
        <w:tc>
          <w:tcPr>
            <w:tcW w:w="539" w:type="pct"/>
            <w:tcBorders>
              <w:top w:val="single" w:color="auto" w:sz="6" w:space="0"/>
            </w:tcBorders>
            <w:vAlign w:val="center"/>
          </w:tcPr>
          <w:p w14:paraId="66621D25">
            <w:pPr>
              <w:keepNext w:val="0"/>
              <w:keepLines w:val="0"/>
              <w:suppressLineNumbers w:val="0"/>
              <w:spacing w:before="0" w:beforeAutospacing="0" w:after="0" w:afterAutospacing="0" w:line="240" w:lineRule="auto"/>
              <w:ind w:left="0" w:right="0"/>
              <w:jc w:val="center"/>
              <w:rPr>
                <w:rFonts w:hint="eastAsia" w:ascii="Times New Roman" w:hAnsi="Times New Roman" w:eastAsia="仿宋" w:cs="Times New Roman"/>
                <w:kern w:val="0"/>
                <w:sz w:val="21"/>
                <w:szCs w:val="21"/>
                <w:lang w:eastAsia="zh-CN"/>
              </w:rPr>
            </w:pPr>
            <w:r>
              <w:rPr>
                <w:rFonts w:hint="eastAsia" w:ascii="Times New Roman" w:hAnsi="Times New Roman" w:eastAsia="仿宋" w:cs="Times New Roman"/>
                <w:kern w:val="0"/>
                <w:sz w:val="21"/>
                <w:szCs w:val="21"/>
                <w:lang w:val="en-US" w:eastAsia="zh-CN"/>
              </w:rPr>
              <w:t>夏</w:t>
            </w:r>
          </w:p>
        </w:tc>
        <w:tc>
          <w:tcPr>
            <w:tcW w:w="781" w:type="pct"/>
            <w:tcBorders>
              <w:top w:val="single" w:color="auto" w:sz="6" w:space="0"/>
            </w:tcBorders>
            <w:vAlign w:val="center"/>
          </w:tcPr>
          <w:p w14:paraId="4C8AB20D">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120</w:t>
            </w:r>
          </w:p>
        </w:tc>
        <w:tc>
          <w:tcPr>
            <w:tcW w:w="781" w:type="pct"/>
            <w:tcBorders>
              <w:top w:val="single" w:color="auto" w:sz="6" w:space="0"/>
            </w:tcBorders>
            <w:vAlign w:val="center"/>
          </w:tcPr>
          <w:p w14:paraId="50A1C37F">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81</w:t>
            </w:r>
          </w:p>
        </w:tc>
        <w:tc>
          <w:tcPr>
            <w:tcW w:w="887" w:type="pct"/>
            <w:tcBorders>
              <w:top w:val="single" w:color="auto" w:sz="6" w:space="0"/>
            </w:tcBorders>
            <w:vAlign w:val="center"/>
          </w:tcPr>
          <w:p w14:paraId="7EE54548">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lang w:val="en-US" w:eastAsia="zh-CN"/>
              </w:rPr>
            </w:pPr>
            <w:r>
              <w:rPr>
                <w:rFonts w:hint="default" w:ascii="Times New Roman" w:hAnsi="Times New Roman" w:eastAsia="仿宋" w:cs="Times New Roman"/>
                <w:kern w:val="0"/>
                <w:sz w:val="21"/>
                <w:szCs w:val="21"/>
              </w:rPr>
              <w:t>39</w:t>
            </w:r>
          </w:p>
        </w:tc>
        <w:tc>
          <w:tcPr>
            <w:tcW w:w="777" w:type="pct"/>
            <w:tcBorders>
              <w:top w:val="single" w:color="auto" w:sz="6" w:space="0"/>
            </w:tcBorders>
            <w:vAlign w:val="bottom"/>
          </w:tcPr>
          <w:p w14:paraId="635750EA">
            <w:pPr>
              <w:keepNext w:val="0"/>
              <w:keepLines w:val="0"/>
              <w:suppressLineNumbers w:val="0"/>
              <w:spacing w:before="0" w:beforeAutospacing="0" w:after="0" w:afterAutospacing="0" w:line="240" w:lineRule="auto"/>
              <w:ind w:left="0" w:right="0"/>
              <w:jc w:val="center"/>
              <w:rPr>
                <w:rFonts w:hint="eastAsia" w:ascii="Times New Roman" w:hAnsi="Times New Roman" w:eastAsia="仿宋" w:cs="Times New Roman"/>
                <w:kern w:val="0"/>
                <w:sz w:val="21"/>
                <w:szCs w:val="21"/>
                <w:lang w:val="en-US" w:eastAsia="zh-CN"/>
              </w:rPr>
            </w:pPr>
            <w:r>
              <w:rPr>
                <w:rFonts w:hint="default" w:ascii="Times New Roman" w:hAnsi="Times New Roman" w:eastAsia="仿宋" w:cs="Times New Roman"/>
                <w:kern w:val="0"/>
                <w:sz w:val="21"/>
                <w:szCs w:val="21"/>
                <w:lang w:val="en-US" w:eastAsia="zh-CN"/>
              </w:rPr>
              <w:t xml:space="preserve">67.50 </w:t>
            </w:r>
          </w:p>
        </w:tc>
        <w:tc>
          <w:tcPr>
            <w:tcW w:w="402" w:type="pct"/>
            <w:tcBorders>
              <w:top w:val="single" w:color="auto" w:sz="6" w:space="0"/>
            </w:tcBorders>
            <w:vAlign w:val="center"/>
          </w:tcPr>
          <w:p w14:paraId="77DD4A9C">
            <w:pPr>
              <w:keepNext w:val="0"/>
              <w:keepLines w:val="0"/>
              <w:suppressLineNumbers w:val="0"/>
              <w:spacing w:before="0" w:beforeAutospacing="0" w:after="0" w:afterAutospacing="0" w:line="240" w:lineRule="auto"/>
              <w:ind w:left="0" w:right="0"/>
              <w:jc w:val="center"/>
              <w:rPr>
                <w:rFonts w:hint="eastAsia" w:ascii="Times New Roman" w:hAnsi="Times New Roman" w:eastAsia="仿宋" w:cs="Times New Roman"/>
                <w:kern w:val="0"/>
                <w:sz w:val="21"/>
                <w:szCs w:val="21"/>
                <w:lang w:val="en-US" w:eastAsia="zh-CN"/>
              </w:rPr>
            </w:pPr>
          </w:p>
        </w:tc>
      </w:tr>
      <w:tr w14:paraId="37D5C38B">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28" w:type="dxa"/>
            <w:bottom w:w="0" w:type="dxa"/>
            <w:right w:w="28" w:type="dxa"/>
          </w:tblCellMar>
        </w:tblPrEx>
        <w:trPr>
          <w:trHeight w:val="340" w:hRule="atLeast"/>
        </w:trPr>
        <w:tc>
          <w:tcPr>
            <w:tcW w:w="828" w:type="pct"/>
            <w:vMerge w:val="continue"/>
            <w:vAlign w:val="center"/>
          </w:tcPr>
          <w:p w14:paraId="6615AAC5">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p>
        </w:tc>
        <w:tc>
          <w:tcPr>
            <w:tcW w:w="539" w:type="pct"/>
            <w:tcBorders>
              <w:bottom w:val="single" w:color="auto" w:sz="4" w:space="0"/>
            </w:tcBorders>
            <w:vAlign w:val="center"/>
          </w:tcPr>
          <w:p w14:paraId="274C9128">
            <w:pPr>
              <w:keepNext w:val="0"/>
              <w:keepLines w:val="0"/>
              <w:suppressLineNumbers w:val="0"/>
              <w:spacing w:before="0" w:beforeAutospacing="0" w:after="0" w:afterAutospacing="0" w:line="240" w:lineRule="auto"/>
              <w:ind w:left="0" w:right="0"/>
              <w:jc w:val="center"/>
              <w:rPr>
                <w:rFonts w:hint="eastAsia" w:ascii="Times New Roman" w:hAnsi="Times New Roman" w:eastAsia="仿宋" w:cs="Times New Roman"/>
                <w:kern w:val="0"/>
                <w:sz w:val="21"/>
                <w:szCs w:val="21"/>
                <w:lang w:eastAsia="zh-CN"/>
              </w:rPr>
            </w:pPr>
            <w:r>
              <w:rPr>
                <w:rFonts w:hint="eastAsia" w:ascii="Times New Roman" w:hAnsi="Times New Roman" w:eastAsia="仿宋" w:cs="Times New Roman"/>
                <w:kern w:val="0"/>
                <w:sz w:val="21"/>
                <w:szCs w:val="21"/>
                <w:lang w:val="en-US" w:eastAsia="zh-CN"/>
              </w:rPr>
              <w:t>冬</w:t>
            </w:r>
          </w:p>
        </w:tc>
        <w:tc>
          <w:tcPr>
            <w:tcW w:w="781" w:type="pct"/>
            <w:tcBorders>
              <w:bottom w:val="single" w:color="auto" w:sz="4" w:space="0"/>
            </w:tcBorders>
            <w:vAlign w:val="center"/>
          </w:tcPr>
          <w:p w14:paraId="3993363A">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132</w:t>
            </w:r>
          </w:p>
        </w:tc>
        <w:tc>
          <w:tcPr>
            <w:tcW w:w="781" w:type="pct"/>
            <w:tcBorders>
              <w:bottom w:val="single" w:color="auto" w:sz="4" w:space="0"/>
            </w:tcBorders>
            <w:vAlign w:val="center"/>
          </w:tcPr>
          <w:p w14:paraId="2853B8FF">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86</w:t>
            </w:r>
          </w:p>
        </w:tc>
        <w:tc>
          <w:tcPr>
            <w:tcW w:w="887" w:type="pct"/>
            <w:tcBorders>
              <w:bottom w:val="single" w:color="auto" w:sz="4" w:space="0"/>
            </w:tcBorders>
            <w:vAlign w:val="center"/>
          </w:tcPr>
          <w:p w14:paraId="03C14663">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46</w:t>
            </w:r>
          </w:p>
        </w:tc>
        <w:tc>
          <w:tcPr>
            <w:tcW w:w="777" w:type="pct"/>
            <w:tcBorders>
              <w:bottom w:val="single" w:color="auto" w:sz="4" w:space="0"/>
            </w:tcBorders>
            <w:vAlign w:val="bottom"/>
          </w:tcPr>
          <w:p w14:paraId="534BB1D9">
            <w:pPr>
              <w:keepNext w:val="0"/>
              <w:keepLines w:val="0"/>
              <w:suppressLineNumbers w:val="0"/>
              <w:spacing w:before="0" w:beforeAutospacing="0" w:after="0" w:afterAutospacing="0" w:line="240" w:lineRule="auto"/>
              <w:ind w:left="0" w:right="0"/>
              <w:jc w:val="center"/>
              <w:rPr>
                <w:rFonts w:hint="eastAsia" w:ascii="Times New Roman" w:hAnsi="Times New Roman" w:eastAsia="仿宋" w:cs="Times New Roman"/>
                <w:kern w:val="0"/>
                <w:sz w:val="21"/>
                <w:szCs w:val="21"/>
                <w:lang w:val="en-US" w:eastAsia="zh-CN"/>
              </w:rPr>
            </w:pPr>
            <w:r>
              <w:rPr>
                <w:rFonts w:hint="default" w:ascii="Times New Roman" w:hAnsi="Times New Roman" w:eastAsia="仿宋" w:cs="Times New Roman"/>
                <w:kern w:val="0"/>
                <w:sz w:val="21"/>
                <w:szCs w:val="21"/>
                <w:lang w:val="en-US" w:eastAsia="zh-CN"/>
              </w:rPr>
              <w:t xml:space="preserve">65.15 </w:t>
            </w:r>
          </w:p>
        </w:tc>
        <w:tc>
          <w:tcPr>
            <w:tcW w:w="402" w:type="pct"/>
            <w:tcBorders>
              <w:bottom w:val="single" w:color="auto" w:sz="4" w:space="0"/>
            </w:tcBorders>
            <w:vAlign w:val="center"/>
          </w:tcPr>
          <w:p w14:paraId="7697EC5C">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&gt;0.05</w:t>
            </w:r>
          </w:p>
        </w:tc>
      </w:tr>
      <w:tr w14:paraId="7A231A68">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28" w:type="dxa"/>
            <w:bottom w:w="0" w:type="dxa"/>
            <w:right w:w="28" w:type="dxa"/>
          </w:tblCellMar>
        </w:tblPrEx>
        <w:trPr>
          <w:trHeight w:val="340" w:hRule="atLeast"/>
        </w:trPr>
        <w:tc>
          <w:tcPr>
            <w:tcW w:w="828" w:type="pct"/>
            <w:vMerge w:val="restart"/>
            <w:vAlign w:val="top"/>
          </w:tcPr>
          <w:p w14:paraId="3C2599D3">
            <w:pPr>
              <w:keepNext w:val="0"/>
              <w:keepLines w:val="0"/>
              <w:suppressLineNumbers w:val="0"/>
              <w:spacing w:before="0" w:beforeAutospacing="0" w:after="0" w:afterAutospacing="0" w:line="240" w:lineRule="auto"/>
              <w:ind w:left="0" w:right="0"/>
              <w:jc w:val="both"/>
              <w:rPr>
                <w:rFonts w:hint="default" w:ascii="Times New Roman" w:hAnsi="Times New Roman" w:eastAsia="仿宋" w:cs="Times New Roman"/>
                <w:kern w:val="0"/>
                <w:sz w:val="21"/>
                <w:szCs w:val="21"/>
              </w:rPr>
            </w:pPr>
            <w:r>
              <w:rPr>
                <w:rFonts w:hint="eastAsia" w:ascii="Times New Roman" w:hAnsi="Times New Roman" w:eastAsia="仿宋" w:cs="Times New Roman"/>
                <w:kern w:val="0"/>
                <w:sz w:val="21"/>
                <w:szCs w:val="21"/>
                <w:lang w:eastAsia="zh-CN"/>
              </w:rPr>
              <w:t>LS</w:t>
            </w:r>
          </w:p>
        </w:tc>
        <w:tc>
          <w:tcPr>
            <w:tcW w:w="539" w:type="pct"/>
            <w:tcBorders>
              <w:top w:val="single" w:color="auto" w:sz="4" w:space="0"/>
              <w:bottom w:val="nil"/>
            </w:tcBorders>
            <w:vAlign w:val="center"/>
          </w:tcPr>
          <w:p w14:paraId="79291AFB">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eastAsia" w:ascii="Times New Roman" w:hAnsi="Times New Roman" w:eastAsia="仿宋" w:cs="Times New Roman"/>
                <w:kern w:val="0"/>
                <w:sz w:val="21"/>
                <w:szCs w:val="21"/>
                <w:lang w:val="en-US" w:eastAsia="zh-CN"/>
              </w:rPr>
              <w:t>夏</w:t>
            </w:r>
          </w:p>
        </w:tc>
        <w:tc>
          <w:tcPr>
            <w:tcW w:w="781" w:type="pct"/>
            <w:tcBorders>
              <w:top w:val="single" w:color="auto" w:sz="4" w:space="0"/>
              <w:bottom w:val="nil"/>
            </w:tcBorders>
            <w:vAlign w:val="center"/>
          </w:tcPr>
          <w:p w14:paraId="58CAC7FC">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119</w:t>
            </w:r>
          </w:p>
        </w:tc>
        <w:tc>
          <w:tcPr>
            <w:tcW w:w="781" w:type="pct"/>
            <w:tcBorders>
              <w:top w:val="single" w:color="auto" w:sz="4" w:space="0"/>
              <w:bottom w:val="nil"/>
            </w:tcBorders>
            <w:vAlign w:val="center"/>
          </w:tcPr>
          <w:p w14:paraId="0292CF17">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100</w:t>
            </w:r>
          </w:p>
        </w:tc>
        <w:tc>
          <w:tcPr>
            <w:tcW w:w="887" w:type="pct"/>
            <w:tcBorders>
              <w:top w:val="single" w:color="auto" w:sz="4" w:space="0"/>
              <w:bottom w:val="nil"/>
            </w:tcBorders>
            <w:vAlign w:val="center"/>
          </w:tcPr>
          <w:p w14:paraId="4DAA7FA3">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19</w:t>
            </w:r>
          </w:p>
        </w:tc>
        <w:tc>
          <w:tcPr>
            <w:tcW w:w="777" w:type="pct"/>
            <w:tcBorders>
              <w:top w:val="single" w:color="auto" w:sz="4" w:space="0"/>
              <w:bottom w:val="nil"/>
            </w:tcBorders>
            <w:vAlign w:val="bottom"/>
          </w:tcPr>
          <w:p w14:paraId="5955F769">
            <w:pPr>
              <w:keepNext w:val="0"/>
              <w:keepLines w:val="0"/>
              <w:suppressLineNumbers w:val="0"/>
              <w:spacing w:before="0" w:beforeAutospacing="0" w:after="0" w:afterAutospacing="0" w:line="240" w:lineRule="auto"/>
              <w:ind w:left="0" w:right="0"/>
              <w:jc w:val="center"/>
              <w:rPr>
                <w:rFonts w:hint="eastAsia" w:ascii="Times New Roman" w:hAnsi="Times New Roman" w:eastAsia="仿宋" w:cs="Times New Roman"/>
                <w:kern w:val="0"/>
                <w:sz w:val="21"/>
                <w:szCs w:val="21"/>
                <w:lang w:val="en-US" w:eastAsia="zh-CN"/>
              </w:rPr>
            </w:pPr>
            <w:r>
              <w:rPr>
                <w:rFonts w:hint="default" w:ascii="Times New Roman" w:hAnsi="Times New Roman" w:eastAsia="仿宋" w:cs="Times New Roman"/>
                <w:kern w:val="0"/>
                <w:sz w:val="21"/>
                <w:szCs w:val="21"/>
                <w:lang w:val="en-US" w:eastAsia="zh-CN"/>
              </w:rPr>
              <w:t xml:space="preserve">84.03 </w:t>
            </w:r>
          </w:p>
        </w:tc>
        <w:tc>
          <w:tcPr>
            <w:tcW w:w="402" w:type="pct"/>
            <w:tcBorders>
              <w:top w:val="single" w:color="auto" w:sz="4" w:space="0"/>
              <w:bottom w:val="nil"/>
            </w:tcBorders>
            <w:vAlign w:val="center"/>
          </w:tcPr>
          <w:p w14:paraId="2B08860E">
            <w:pPr>
              <w:keepNext w:val="0"/>
              <w:keepLines w:val="0"/>
              <w:suppressLineNumbers w:val="0"/>
              <w:spacing w:before="0" w:beforeAutospacing="0" w:after="0" w:afterAutospacing="0" w:line="240" w:lineRule="auto"/>
              <w:ind w:left="0" w:right="0"/>
              <w:jc w:val="center"/>
              <w:rPr>
                <w:rFonts w:hint="eastAsia" w:ascii="Times New Roman" w:hAnsi="Times New Roman" w:eastAsia="仿宋" w:cs="Times New Roman"/>
                <w:kern w:val="0"/>
                <w:sz w:val="21"/>
                <w:szCs w:val="21"/>
                <w:lang w:val="en-US" w:eastAsia="zh-CN"/>
              </w:rPr>
            </w:pPr>
          </w:p>
        </w:tc>
      </w:tr>
      <w:tr w14:paraId="2F05D2B5">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28" w:type="dxa"/>
            <w:bottom w:w="0" w:type="dxa"/>
            <w:right w:w="28" w:type="dxa"/>
          </w:tblCellMar>
        </w:tblPrEx>
        <w:trPr>
          <w:trHeight w:val="340" w:hRule="atLeast"/>
        </w:trPr>
        <w:tc>
          <w:tcPr>
            <w:tcW w:w="828" w:type="pct"/>
            <w:vMerge w:val="continue"/>
          </w:tcPr>
          <w:p w14:paraId="0F4B5B1D">
            <w:pPr>
              <w:keepNext w:val="0"/>
              <w:keepLines w:val="0"/>
              <w:suppressLineNumbers w:val="0"/>
              <w:spacing w:before="0" w:beforeAutospacing="0" w:after="0" w:afterAutospacing="0" w:line="240" w:lineRule="auto"/>
              <w:ind w:left="0" w:right="0"/>
              <w:rPr>
                <w:rFonts w:hint="default" w:ascii="Times New Roman" w:hAnsi="Times New Roman" w:eastAsia="仿宋" w:cs="Times New Roman"/>
                <w:kern w:val="0"/>
                <w:sz w:val="21"/>
                <w:szCs w:val="21"/>
              </w:rPr>
            </w:pPr>
          </w:p>
        </w:tc>
        <w:tc>
          <w:tcPr>
            <w:tcW w:w="539" w:type="pct"/>
            <w:tcBorders>
              <w:top w:val="nil"/>
              <w:bottom w:val="single" w:color="auto" w:sz="4" w:space="0"/>
            </w:tcBorders>
            <w:vAlign w:val="center"/>
          </w:tcPr>
          <w:p w14:paraId="4171CA7B">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eastAsia" w:ascii="Times New Roman" w:hAnsi="Times New Roman" w:eastAsia="仿宋" w:cs="Times New Roman"/>
                <w:kern w:val="0"/>
                <w:sz w:val="21"/>
                <w:szCs w:val="21"/>
                <w:lang w:val="en-US" w:eastAsia="zh-CN"/>
              </w:rPr>
              <w:t>冬</w:t>
            </w:r>
          </w:p>
        </w:tc>
        <w:tc>
          <w:tcPr>
            <w:tcW w:w="781" w:type="pct"/>
            <w:tcBorders>
              <w:top w:val="nil"/>
              <w:bottom w:val="single" w:color="auto" w:sz="4" w:space="0"/>
            </w:tcBorders>
            <w:vAlign w:val="center"/>
          </w:tcPr>
          <w:p w14:paraId="4A48CAFE">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132</w:t>
            </w:r>
          </w:p>
        </w:tc>
        <w:tc>
          <w:tcPr>
            <w:tcW w:w="781" w:type="pct"/>
            <w:tcBorders>
              <w:top w:val="nil"/>
              <w:bottom w:val="single" w:color="auto" w:sz="4" w:space="0"/>
            </w:tcBorders>
            <w:vAlign w:val="center"/>
          </w:tcPr>
          <w:p w14:paraId="0D2A1427">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95</w:t>
            </w:r>
          </w:p>
        </w:tc>
        <w:tc>
          <w:tcPr>
            <w:tcW w:w="887" w:type="pct"/>
            <w:tcBorders>
              <w:top w:val="nil"/>
              <w:bottom w:val="single" w:color="auto" w:sz="4" w:space="0"/>
            </w:tcBorders>
            <w:vAlign w:val="center"/>
          </w:tcPr>
          <w:p w14:paraId="2279E360">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37</w:t>
            </w:r>
          </w:p>
        </w:tc>
        <w:tc>
          <w:tcPr>
            <w:tcW w:w="777" w:type="pct"/>
            <w:tcBorders>
              <w:top w:val="nil"/>
              <w:bottom w:val="single" w:color="auto" w:sz="4" w:space="0"/>
            </w:tcBorders>
            <w:vAlign w:val="bottom"/>
          </w:tcPr>
          <w:p w14:paraId="3F45CFDA">
            <w:pPr>
              <w:keepNext w:val="0"/>
              <w:keepLines w:val="0"/>
              <w:suppressLineNumbers w:val="0"/>
              <w:spacing w:before="0" w:beforeAutospacing="0" w:after="0" w:afterAutospacing="0" w:line="240" w:lineRule="auto"/>
              <w:ind w:left="0" w:right="0"/>
              <w:jc w:val="center"/>
              <w:rPr>
                <w:rFonts w:hint="eastAsia" w:ascii="Times New Roman" w:hAnsi="Times New Roman" w:eastAsia="仿宋" w:cs="Times New Roman"/>
                <w:kern w:val="0"/>
                <w:sz w:val="21"/>
                <w:szCs w:val="21"/>
                <w:lang w:val="en-US" w:eastAsia="zh-CN"/>
              </w:rPr>
            </w:pPr>
            <w:r>
              <w:rPr>
                <w:rFonts w:hint="default" w:ascii="Times New Roman" w:hAnsi="Times New Roman" w:eastAsia="仿宋" w:cs="Times New Roman"/>
                <w:kern w:val="0"/>
                <w:sz w:val="21"/>
                <w:szCs w:val="21"/>
                <w:lang w:val="en-US" w:eastAsia="zh-CN"/>
              </w:rPr>
              <w:t xml:space="preserve">71.97 </w:t>
            </w:r>
          </w:p>
        </w:tc>
        <w:tc>
          <w:tcPr>
            <w:tcW w:w="402" w:type="pct"/>
            <w:tcBorders>
              <w:top w:val="nil"/>
              <w:bottom w:val="single" w:color="auto" w:sz="4" w:space="0"/>
            </w:tcBorders>
            <w:vAlign w:val="center"/>
          </w:tcPr>
          <w:p w14:paraId="58988FE3">
            <w:pPr>
              <w:keepNext w:val="0"/>
              <w:keepLines w:val="0"/>
              <w:suppressLineNumbers w:val="0"/>
              <w:spacing w:before="0" w:beforeAutospacing="0" w:after="0" w:afterAutospacing="0" w:line="240" w:lineRule="auto"/>
              <w:ind w:left="0" w:right="0"/>
              <w:jc w:val="center"/>
              <w:rPr>
                <w:rFonts w:hint="eastAsia"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&lt;0.05</w:t>
            </w:r>
          </w:p>
        </w:tc>
      </w:tr>
      <w:tr w14:paraId="0486D29E">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28" w:type="dxa"/>
            <w:bottom w:w="0" w:type="dxa"/>
            <w:right w:w="28" w:type="dxa"/>
          </w:tblCellMar>
        </w:tblPrEx>
        <w:trPr>
          <w:trHeight w:val="380" w:hRule="atLeast"/>
        </w:trPr>
        <w:tc>
          <w:tcPr>
            <w:tcW w:w="828" w:type="pct"/>
            <w:vMerge w:val="restart"/>
            <w:vAlign w:val="top"/>
          </w:tcPr>
          <w:p w14:paraId="26805E2A">
            <w:pPr>
              <w:keepNext w:val="0"/>
              <w:keepLines w:val="0"/>
              <w:suppressLineNumbers w:val="0"/>
              <w:spacing w:before="0" w:beforeAutospacing="0" w:after="0" w:afterAutospacing="0" w:line="240" w:lineRule="auto"/>
              <w:ind w:left="0" w:right="0"/>
              <w:jc w:val="both"/>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SKC法</w:t>
            </w:r>
          </w:p>
        </w:tc>
        <w:tc>
          <w:tcPr>
            <w:tcW w:w="539" w:type="pct"/>
            <w:tcBorders>
              <w:top w:val="single" w:color="auto" w:sz="4" w:space="0"/>
            </w:tcBorders>
            <w:vAlign w:val="center"/>
          </w:tcPr>
          <w:p w14:paraId="1A6DE0FF">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eastAsia" w:ascii="Times New Roman" w:hAnsi="Times New Roman" w:eastAsia="仿宋" w:cs="Times New Roman"/>
                <w:kern w:val="0"/>
                <w:sz w:val="21"/>
                <w:szCs w:val="21"/>
                <w:lang w:val="en-US" w:eastAsia="zh-CN"/>
              </w:rPr>
              <w:t>夏</w:t>
            </w:r>
          </w:p>
        </w:tc>
        <w:tc>
          <w:tcPr>
            <w:tcW w:w="781" w:type="pct"/>
            <w:tcBorders>
              <w:top w:val="single" w:color="auto" w:sz="4" w:space="0"/>
            </w:tcBorders>
            <w:vAlign w:val="center"/>
          </w:tcPr>
          <w:p w14:paraId="40E644CF">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40</w:t>
            </w:r>
          </w:p>
        </w:tc>
        <w:tc>
          <w:tcPr>
            <w:tcW w:w="781" w:type="pct"/>
            <w:tcBorders>
              <w:top w:val="single" w:color="auto" w:sz="4" w:space="0"/>
            </w:tcBorders>
            <w:vAlign w:val="center"/>
          </w:tcPr>
          <w:p w14:paraId="1EA86426">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34</w:t>
            </w:r>
          </w:p>
        </w:tc>
        <w:tc>
          <w:tcPr>
            <w:tcW w:w="887" w:type="pct"/>
            <w:tcBorders>
              <w:top w:val="single" w:color="auto" w:sz="4" w:space="0"/>
            </w:tcBorders>
            <w:vAlign w:val="center"/>
          </w:tcPr>
          <w:p w14:paraId="2567ED84">
            <w:pPr>
              <w:keepNext w:val="0"/>
              <w:keepLines w:val="0"/>
              <w:suppressLineNumbers w:val="0"/>
              <w:spacing w:before="0" w:beforeAutospacing="0" w:after="0" w:afterAutospacing="0" w:line="240" w:lineRule="auto"/>
              <w:ind w:left="0" w:right="0"/>
              <w:jc w:val="center"/>
              <w:rPr>
                <w:rFonts w:hint="eastAsia" w:ascii="Times New Roman" w:hAnsi="Times New Roman" w:eastAsia="仿宋" w:cs="Times New Roman"/>
                <w:kern w:val="0"/>
                <w:sz w:val="21"/>
                <w:szCs w:val="21"/>
                <w:lang w:eastAsia="zh-CN"/>
              </w:rPr>
            </w:pPr>
            <w:r>
              <w:rPr>
                <w:rFonts w:hint="eastAsia" w:ascii="Times New Roman" w:hAnsi="Times New Roman" w:eastAsia="仿宋" w:cs="Times New Roman"/>
                <w:kern w:val="0"/>
                <w:sz w:val="21"/>
                <w:szCs w:val="21"/>
                <w:lang w:val="en-US" w:eastAsia="zh-CN"/>
              </w:rPr>
              <w:t>6</w:t>
            </w:r>
          </w:p>
        </w:tc>
        <w:tc>
          <w:tcPr>
            <w:tcW w:w="777" w:type="pct"/>
            <w:tcBorders>
              <w:top w:val="single" w:color="auto" w:sz="4" w:space="0"/>
            </w:tcBorders>
            <w:vAlign w:val="bottom"/>
          </w:tcPr>
          <w:p w14:paraId="6D02AF3D">
            <w:pPr>
              <w:keepNext w:val="0"/>
              <w:keepLines w:val="0"/>
              <w:suppressLineNumbers w:val="0"/>
              <w:spacing w:before="0" w:beforeAutospacing="0" w:after="0" w:afterAutospacing="0" w:line="240" w:lineRule="auto"/>
              <w:ind w:left="0" w:right="0"/>
              <w:jc w:val="center"/>
              <w:rPr>
                <w:rFonts w:hint="eastAsia" w:ascii="Times New Roman" w:hAnsi="Times New Roman" w:eastAsia="仿宋" w:cs="Times New Roman"/>
                <w:kern w:val="0"/>
                <w:sz w:val="21"/>
                <w:szCs w:val="21"/>
                <w:lang w:val="en-US" w:eastAsia="zh-CN"/>
              </w:rPr>
            </w:pPr>
            <w:r>
              <w:rPr>
                <w:rFonts w:hint="default" w:ascii="Times New Roman" w:hAnsi="Times New Roman" w:eastAsia="仿宋" w:cs="Times New Roman"/>
                <w:kern w:val="0"/>
                <w:sz w:val="21"/>
                <w:szCs w:val="21"/>
                <w:lang w:val="en-US" w:eastAsia="zh-CN"/>
              </w:rPr>
              <w:t xml:space="preserve">85.00 </w:t>
            </w:r>
          </w:p>
        </w:tc>
        <w:tc>
          <w:tcPr>
            <w:tcW w:w="402" w:type="pct"/>
            <w:tcBorders>
              <w:top w:val="single" w:color="auto" w:sz="4" w:space="0"/>
            </w:tcBorders>
            <w:vAlign w:val="center"/>
          </w:tcPr>
          <w:p w14:paraId="39868A37">
            <w:pPr>
              <w:keepNext w:val="0"/>
              <w:keepLines w:val="0"/>
              <w:suppressLineNumbers w:val="0"/>
              <w:spacing w:before="0" w:beforeAutospacing="0" w:after="0" w:afterAutospacing="0" w:line="240" w:lineRule="auto"/>
              <w:ind w:left="0" w:right="0"/>
              <w:jc w:val="center"/>
              <w:rPr>
                <w:rFonts w:hint="eastAsia" w:ascii="Times New Roman" w:hAnsi="Times New Roman" w:eastAsia="仿宋" w:cs="Times New Roman"/>
                <w:kern w:val="0"/>
                <w:sz w:val="21"/>
                <w:szCs w:val="21"/>
                <w:lang w:val="en-US" w:eastAsia="zh-CN"/>
              </w:rPr>
            </w:pPr>
          </w:p>
        </w:tc>
      </w:tr>
      <w:tr w14:paraId="5A9317B9">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28" w:type="dxa"/>
            <w:bottom w:w="0" w:type="dxa"/>
            <w:right w:w="28" w:type="dxa"/>
          </w:tblCellMar>
        </w:tblPrEx>
        <w:trPr>
          <w:trHeight w:val="340" w:hRule="atLeast"/>
        </w:trPr>
        <w:tc>
          <w:tcPr>
            <w:tcW w:w="828" w:type="pct"/>
            <w:vMerge w:val="continue"/>
            <w:vAlign w:val="center"/>
          </w:tcPr>
          <w:p w14:paraId="48703403">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p>
        </w:tc>
        <w:tc>
          <w:tcPr>
            <w:tcW w:w="539" w:type="pct"/>
            <w:vAlign w:val="center"/>
          </w:tcPr>
          <w:p w14:paraId="4B0416B8">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eastAsia" w:ascii="Times New Roman" w:hAnsi="Times New Roman" w:eastAsia="仿宋" w:cs="Times New Roman"/>
                <w:kern w:val="0"/>
                <w:sz w:val="21"/>
                <w:szCs w:val="21"/>
                <w:lang w:val="en-US" w:eastAsia="zh-CN"/>
              </w:rPr>
              <w:t>冬</w:t>
            </w:r>
          </w:p>
        </w:tc>
        <w:tc>
          <w:tcPr>
            <w:tcW w:w="781" w:type="pct"/>
            <w:vAlign w:val="center"/>
          </w:tcPr>
          <w:p w14:paraId="4152D13A">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44</w:t>
            </w:r>
          </w:p>
        </w:tc>
        <w:tc>
          <w:tcPr>
            <w:tcW w:w="781" w:type="pct"/>
            <w:vAlign w:val="center"/>
          </w:tcPr>
          <w:p w14:paraId="15659A18">
            <w:pPr>
              <w:keepNext w:val="0"/>
              <w:keepLines w:val="0"/>
              <w:suppressLineNumbers w:val="0"/>
              <w:spacing w:before="0" w:beforeAutospacing="0" w:after="0" w:afterAutospacing="0" w:line="240" w:lineRule="auto"/>
              <w:ind w:left="0" w:right="0"/>
              <w:jc w:val="center"/>
              <w:rPr>
                <w:rFonts w:hint="eastAsia" w:ascii="Times New Roman" w:hAnsi="Times New Roman" w:eastAsia="仿宋" w:cs="Times New Roman"/>
                <w:kern w:val="0"/>
                <w:sz w:val="21"/>
                <w:szCs w:val="21"/>
                <w:lang w:val="en-US" w:eastAsia="zh-CN"/>
              </w:rPr>
            </w:pPr>
            <w:r>
              <w:rPr>
                <w:rFonts w:hint="default" w:ascii="Times New Roman" w:hAnsi="Times New Roman" w:eastAsia="仿宋" w:cs="Times New Roman"/>
                <w:kern w:val="0"/>
                <w:sz w:val="21"/>
                <w:szCs w:val="21"/>
              </w:rPr>
              <w:t>3</w:t>
            </w:r>
            <w:r>
              <w:rPr>
                <w:rFonts w:hint="eastAsia" w:ascii="Times New Roman" w:hAnsi="Times New Roman" w:eastAsia="仿宋" w:cs="Times New Roman"/>
                <w:kern w:val="0"/>
                <w:sz w:val="21"/>
                <w:szCs w:val="21"/>
                <w:lang w:val="en-US" w:eastAsia="zh-CN"/>
              </w:rPr>
              <w:t>1</w:t>
            </w:r>
          </w:p>
        </w:tc>
        <w:tc>
          <w:tcPr>
            <w:tcW w:w="887" w:type="pct"/>
            <w:vAlign w:val="center"/>
          </w:tcPr>
          <w:p w14:paraId="061B640F">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13</w:t>
            </w:r>
          </w:p>
        </w:tc>
        <w:tc>
          <w:tcPr>
            <w:tcW w:w="777" w:type="pct"/>
            <w:vAlign w:val="bottom"/>
          </w:tcPr>
          <w:p w14:paraId="0D37CB15">
            <w:pPr>
              <w:keepNext w:val="0"/>
              <w:keepLines w:val="0"/>
              <w:suppressLineNumbers w:val="0"/>
              <w:spacing w:before="0" w:beforeAutospacing="0" w:after="0" w:afterAutospacing="0" w:line="240" w:lineRule="auto"/>
              <w:ind w:left="0" w:right="0"/>
              <w:jc w:val="center"/>
              <w:rPr>
                <w:rFonts w:hint="eastAsia" w:ascii="Times New Roman" w:hAnsi="Times New Roman" w:eastAsia="仿宋" w:cs="Times New Roman"/>
                <w:kern w:val="0"/>
                <w:sz w:val="21"/>
                <w:szCs w:val="21"/>
                <w:lang w:val="en-US" w:eastAsia="zh-CN"/>
              </w:rPr>
            </w:pPr>
            <w:r>
              <w:rPr>
                <w:rFonts w:hint="default" w:ascii="Times New Roman" w:hAnsi="Times New Roman" w:eastAsia="仿宋" w:cs="Times New Roman"/>
                <w:kern w:val="0"/>
                <w:sz w:val="21"/>
                <w:szCs w:val="21"/>
                <w:lang w:val="en-US" w:eastAsia="zh-CN"/>
              </w:rPr>
              <w:t xml:space="preserve">70.45 </w:t>
            </w:r>
          </w:p>
        </w:tc>
        <w:tc>
          <w:tcPr>
            <w:tcW w:w="402" w:type="pct"/>
            <w:vAlign w:val="center"/>
          </w:tcPr>
          <w:p w14:paraId="35351603">
            <w:pPr>
              <w:keepNext w:val="0"/>
              <w:keepLines w:val="0"/>
              <w:suppressLineNumbers w:val="0"/>
              <w:spacing w:before="0" w:beforeAutospacing="0" w:after="0" w:afterAutospacing="0" w:line="240" w:lineRule="auto"/>
              <w:ind w:left="0" w:right="0"/>
              <w:jc w:val="center"/>
              <w:rPr>
                <w:rFonts w:hint="eastAsia"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&gt;0.05</w:t>
            </w:r>
          </w:p>
        </w:tc>
      </w:tr>
    </w:tbl>
    <w:p w14:paraId="0AF34E40">
      <w:pPr>
        <w:spacing w:line="240" w:lineRule="auto"/>
        <w:jc w:val="cente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表</w:t>
      </w:r>
      <w:r>
        <w:rPr>
          <w:rFonts w:hint="eastAsia" w:ascii="Times New Roman" w:hAnsi="Times New Roman" w:eastAsia="仿宋" w:cs="Times New Roman"/>
          <w:sz w:val="24"/>
          <w:szCs w:val="24"/>
          <w:lang w:val="en-US" w:eastAsia="zh-CN"/>
        </w:rPr>
        <w:t>4</w:t>
      </w:r>
      <w:r>
        <w:rPr>
          <w:rFonts w:hint="eastAsia" w:ascii="Times New Roman" w:hAnsi="Times New Roman" w:eastAsia="仿宋" w:cs="Times New Roman"/>
          <w:sz w:val="24"/>
          <w:szCs w:val="24"/>
        </w:rPr>
        <w:t>三种方法</w:t>
      </w:r>
      <w:r>
        <w:rPr>
          <w:rFonts w:hint="eastAsia" w:ascii="Times New Roman" w:hAnsi="Times New Roman" w:eastAsia="仿宋" w:cs="Times New Roman"/>
          <w:sz w:val="24"/>
          <w:szCs w:val="24"/>
          <w:lang w:val="en-US" w:eastAsia="zh-CN"/>
        </w:rPr>
        <w:t>秋冬两季</w:t>
      </w:r>
      <w:r>
        <w:rPr>
          <w:rFonts w:hint="eastAsia" w:ascii="Times New Roman" w:hAnsi="Times New Roman" w:eastAsia="仿宋" w:cs="Times New Roman"/>
          <w:sz w:val="24"/>
          <w:szCs w:val="24"/>
        </w:rPr>
        <w:t>采集样品</w:t>
      </w:r>
      <w:r>
        <w:rPr>
          <w:rFonts w:hint="eastAsia" w:ascii="Times New Roman" w:hAnsi="Times New Roman" w:eastAsia="仿宋" w:cs="Times New Roman"/>
          <w:sz w:val="24"/>
          <w:szCs w:val="24"/>
          <w:lang w:val="en-US" w:eastAsia="zh-CN"/>
        </w:rPr>
        <w:t>真菌总数</w:t>
      </w:r>
      <w:r>
        <w:rPr>
          <w:rFonts w:hint="eastAsia" w:ascii="Times New Roman" w:hAnsi="Times New Roman" w:eastAsia="仿宋" w:cs="Times New Roman"/>
          <w:sz w:val="24"/>
          <w:szCs w:val="24"/>
        </w:rPr>
        <w:t>结果检出率卡方检验</w:t>
      </w:r>
    </w:p>
    <w:tbl>
      <w:tblPr>
        <w:tblStyle w:val="26"/>
        <w:tblW w:w="5001" w:type="pct"/>
        <w:tblInd w:w="0" w:type="dxa"/>
        <w:tblBorders>
          <w:top w:val="single" w:color="auto" w:sz="8" w:space="0"/>
          <w:left w:val="none" w:color="auto" w:sz="0" w:space="0"/>
          <w:bottom w:val="single" w:color="auto" w:sz="8" w:space="0"/>
          <w:right w:val="none" w:color="auto" w:sz="0" w:space="0"/>
          <w:insideH w:val="none" w:color="auto" w:sz="0" w:space="0"/>
          <w:insideV w:val="none" w:color="auto" w:sz="0" w:space="0"/>
        </w:tblBorders>
        <w:tblLayout w:type="autofit"/>
        <w:tblCellMar>
          <w:top w:w="0" w:type="dxa"/>
          <w:left w:w="28" w:type="dxa"/>
          <w:bottom w:w="0" w:type="dxa"/>
          <w:right w:w="28" w:type="dxa"/>
        </w:tblCellMar>
      </w:tblPr>
      <w:tblGrid>
        <w:gridCol w:w="1386"/>
        <w:gridCol w:w="903"/>
        <w:gridCol w:w="1308"/>
        <w:gridCol w:w="1308"/>
        <w:gridCol w:w="1485"/>
        <w:gridCol w:w="1301"/>
        <w:gridCol w:w="673"/>
      </w:tblGrid>
      <w:tr w14:paraId="35BE7F40">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28" w:type="dxa"/>
            <w:bottom w:w="0" w:type="dxa"/>
            <w:right w:w="28" w:type="dxa"/>
          </w:tblCellMar>
        </w:tblPrEx>
        <w:trPr>
          <w:trHeight w:val="340" w:hRule="atLeast"/>
        </w:trPr>
        <w:tc>
          <w:tcPr>
            <w:tcW w:w="828" w:type="pct"/>
            <w:tcBorders>
              <w:top w:val="single" w:color="auto" w:sz="8" w:space="0"/>
              <w:bottom w:val="single" w:color="auto" w:sz="6" w:space="0"/>
            </w:tcBorders>
            <w:vAlign w:val="center"/>
          </w:tcPr>
          <w:p w14:paraId="684E2AFC">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指标</w:t>
            </w:r>
          </w:p>
        </w:tc>
        <w:tc>
          <w:tcPr>
            <w:tcW w:w="539" w:type="pct"/>
            <w:tcBorders>
              <w:top w:val="single" w:color="auto" w:sz="8" w:space="0"/>
              <w:bottom w:val="single" w:color="auto" w:sz="6" w:space="0"/>
            </w:tcBorders>
            <w:vAlign w:val="center"/>
          </w:tcPr>
          <w:p w14:paraId="668DC0DC">
            <w:pPr>
              <w:keepNext w:val="0"/>
              <w:keepLines w:val="0"/>
              <w:suppressLineNumbers w:val="0"/>
              <w:spacing w:before="0" w:beforeAutospacing="0" w:after="0" w:afterAutospacing="0" w:line="240" w:lineRule="auto"/>
              <w:ind w:left="0" w:right="0"/>
              <w:jc w:val="center"/>
              <w:rPr>
                <w:rFonts w:hint="eastAsia" w:ascii="Times New Roman" w:hAnsi="Times New Roman" w:eastAsia="仿宋" w:cs="Times New Roman"/>
                <w:kern w:val="0"/>
                <w:sz w:val="21"/>
                <w:szCs w:val="21"/>
                <w:lang w:eastAsia="zh-CN"/>
              </w:rPr>
            </w:pPr>
            <w:r>
              <w:rPr>
                <w:rFonts w:hint="eastAsia" w:ascii="Times New Roman" w:hAnsi="Times New Roman" w:eastAsia="仿宋" w:cs="Times New Roman"/>
                <w:kern w:val="0"/>
                <w:sz w:val="21"/>
                <w:szCs w:val="21"/>
                <w:lang w:val="en-US" w:eastAsia="zh-CN"/>
              </w:rPr>
              <w:t>季节</w:t>
            </w:r>
          </w:p>
        </w:tc>
        <w:tc>
          <w:tcPr>
            <w:tcW w:w="781" w:type="pct"/>
            <w:tcBorders>
              <w:top w:val="single" w:color="auto" w:sz="8" w:space="0"/>
              <w:bottom w:val="single" w:color="auto" w:sz="6" w:space="0"/>
            </w:tcBorders>
            <w:vAlign w:val="center"/>
          </w:tcPr>
          <w:p w14:paraId="6FD3A9E8">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例数</w:t>
            </w:r>
          </w:p>
        </w:tc>
        <w:tc>
          <w:tcPr>
            <w:tcW w:w="781" w:type="pct"/>
            <w:tcBorders>
              <w:top w:val="single" w:color="auto" w:sz="8" w:space="0"/>
              <w:bottom w:val="single" w:color="auto" w:sz="6" w:space="0"/>
            </w:tcBorders>
            <w:vAlign w:val="center"/>
          </w:tcPr>
          <w:p w14:paraId="18A0A37B">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检出例数</w:t>
            </w:r>
          </w:p>
        </w:tc>
        <w:tc>
          <w:tcPr>
            <w:tcW w:w="887" w:type="pct"/>
            <w:tcBorders>
              <w:top w:val="single" w:color="auto" w:sz="8" w:space="0"/>
              <w:bottom w:val="single" w:color="auto" w:sz="6" w:space="0"/>
            </w:tcBorders>
            <w:vAlign w:val="center"/>
          </w:tcPr>
          <w:p w14:paraId="18189D31">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未检出例数</w:t>
            </w:r>
          </w:p>
        </w:tc>
        <w:tc>
          <w:tcPr>
            <w:tcW w:w="777" w:type="pct"/>
            <w:tcBorders>
              <w:top w:val="single" w:color="auto" w:sz="8" w:space="0"/>
              <w:bottom w:val="single" w:color="auto" w:sz="6" w:space="0"/>
            </w:tcBorders>
            <w:vAlign w:val="center"/>
          </w:tcPr>
          <w:p w14:paraId="53850C15">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检出率（%）</w:t>
            </w:r>
          </w:p>
        </w:tc>
        <w:tc>
          <w:tcPr>
            <w:tcW w:w="402" w:type="pct"/>
            <w:tcBorders>
              <w:top w:val="single" w:color="auto" w:sz="8" w:space="0"/>
              <w:bottom w:val="single" w:color="auto" w:sz="6" w:space="0"/>
            </w:tcBorders>
            <w:vAlign w:val="center"/>
          </w:tcPr>
          <w:p w14:paraId="768B9E40">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i/>
                <w:iCs/>
                <w:kern w:val="0"/>
                <w:sz w:val="21"/>
                <w:szCs w:val="21"/>
              </w:rPr>
              <w:t>P</w:t>
            </w:r>
            <w:r>
              <w:rPr>
                <w:rFonts w:hint="default" w:ascii="Times New Roman" w:hAnsi="Times New Roman" w:eastAsia="仿宋" w:cs="Times New Roman"/>
                <w:kern w:val="0"/>
                <w:sz w:val="21"/>
                <w:szCs w:val="21"/>
              </w:rPr>
              <w:t>值</w:t>
            </w:r>
          </w:p>
        </w:tc>
      </w:tr>
      <w:tr w14:paraId="3B821319">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28" w:type="dxa"/>
            <w:bottom w:w="0" w:type="dxa"/>
            <w:right w:w="28" w:type="dxa"/>
          </w:tblCellMar>
        </w:tblPrEx>
        <w:trPr>
          <w:trHeight w:val="340" w:hRule="atLeast"/>
        </w:trPr>
        <w:tc>
          <w:tcPr>
            <w:tcW w:w="828" w:type="pct"/>
            <w:vMerge w:val="restart"/>
            <w:tcBorders>
              <w:top w:val="single" w:color="auto" w:sz="6" w:space="0"/>
            </w:tcBorders>
          </w:tcPr>
          <w:p w14:paraId="16231A19">
            <w:pPr>
              <w:keepNext w:val="0"/>
              <w:keepLines w:val="0"/>
              <w:suppressLineNumbers w:val="0"/>
              <w:spacing w:before="0" w:beforeAutospacing="0" w:after="0" w:afterAutospacing="0" w:line="240" w:lineRule="auto"/>
              <w:ind w:left="0" w:right="0"/>
              <w:rPr>
                <w:rFonts w:hint="eastAsia" w:ascii="Times New Roman" w:hAnsi="Times New Roman" w:eastAsia="仿宋" w:cs="Times New Roman"/>
                <w:kern w:val="0"/>
                <w:sz w:val="21"/>
                <w:szCs w:val="21"/>
                <w:lang w:eastAsia="zh-CN"/>
              </w:rPr>
            </w:pPr>
            <w:r>
              <w:rPr>
                <w:rFonts w:hint="eastAsia" w:ascii="Times New Roman" w:hAnsi="Times New Roman" w:eastAsia="仿宋" w:cs="Times New Roman"/>
                <w:kern w:val="0"/>
                <w:sz w:val="21"/>
                <w:szCs w:val="21"/>
                <w:lang w:eastAsia="zh-CN"/>
              </w:rPr>
              <w:t>大流量</w:t>
            </w:r>
          </w:p>
        </w:tc>
        <w:tc>
          <w:tcPr>
            <w:tcW w:w="539" w:type="pct"/>
            <w:tcBorders>
              <w:top w:val="single" w:color="auto" w:sz="6" w:space="0"/>
            </w:tcBorders>
            <w:vAlign w:val="center"/>
          </w:tcPr>
          <w:p w14:paraId="1704108C">
            <w:pPr>
              <w:keepNext w:val="0"/>
              <w:keepLines w:val="0"/>
              <w:suppressLineNumbers w:val="0"/>
              <w:spacing w:before="0" w:beforeAutospacing="0" w:after="0" w:afterAutospacing="0" w:line="240" w:lineRule="auto"/>
              <w:ind w:left="0" w:right="0"/>
              <w:jc w:val="center"/>
              <w:rPr>
                <w:rFonts w:hint="eastAsia" w:ascii="Times New Roman" w:hAnsi="Times New Roman" w:eastAsia="仿宋" w:cs="Times New Roman"/>
                <w:kern w:val="0"/>
                <w:sz w:val="21"/>
                <w:szCs w:val="21"/>
                <w:lang w:eastAsia="zh-CN"/>
              </w:rPr>
            </w:pPr>
            <w:r>
              <w:rPr>
                <w:rFonts w:hint="eastAsia" w:ascii="Times New Roman" w:hAnsi="Times New Roman" w:eastAsia="仿宋" w:cs="Times New Roman"/>
                <w:kern w:val="0"/>
                <w:sz w:val="21"/>
                <w:szCs w:val="21"/>
                <w:lang w:val="en-US" w:eastAsia="zh-CN"/>
              </w:rPr>
              <w:t>夏</w:t>
            </w:r>
          </w:p>
        </w:tc>
        <w:tc>
          <w:tcPr>
            <w:tcW w:w="781" w:type="pct"/>
            <w:tcBorders>
              <w:top w:val="single" w:color="auto" w:sz="6" w:space="0"/>
            </w:tcBorders>
            <w:vAlign w:val="center"/>
          </w:tcPr>
          <w:p w14:paraId="72367F50">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120</w:t>
            </w:r>
          </w:p>
        </w:tc>
        <w:tc>
          <w:tcPr>
            <w:tcW w:w="781" w:type="pct"/>
            <w:tcBorders>
              <w:top w:val="single" w:color="auto" w:sz="6" w:space="0"/>
            </w:tcBorders>
            <w:vAlign w:val="center"/>
          </w:tcPr>
          <w:p w14:paraId="1A997571">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76</w:t>
            </w:r>
          </w:p>
        </w:tc>
        <w:tc>
          <w:tcPr>
            <w:tcW w:w="887" w:type="pct"/>
            <w:tcBorders>
              <w:top w:val="single" w:color="auto" w:sz="6" w:space="0"/>
            </w:tcBorders>
            <w:vAlign w:val="center"/>
          </w:tcPr>
          <w:p w14:paraId="6B2B4F92">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44</w:t>
            </w:r>
          </w:p>
        </w:tc>
        <w:tc>
          <w:tcPr>
            <w:tcW w:w="777" w:type="pct"/>
            <w:tcBorders>
              <w:top w:val="single" w:color="auto" w:sz="6" w:space="0"/>
            </w:tcBorders>
            <w:vAlign w:val="bottom"/>
          </w:tcPr>
          <w:p w14:paraId="7F4F83E8">
            <w:pPr>
              <w:keepNext w:val="0"/>
              <w:keepLines w:val="0"/>
              <w:suppressLineNumbers w:val="0"/>
              <w:spacing w:before="0" w:beforeAutospacing="0" w:after="0" w:afterAutospacing="0" w:line="240" w:lineRule="auto"/>
              <w:ind w:left="0" w:right="0"/>
              <w:jc w:val="center"/>
              <w:rPr>
                <w:rFonts w:hint="eastAsia" w:ascii="Times New Roman" w:hAnsi="Times New Roman" w:eastAsia="仿宋" w:cs="Times New Roman"/>
                <w:kern w:val="0"/>
                <w:sz w:val="21"/>
                <w:szCs w:val="21"/>
                <w:lang w:val="en-US" w:eastAsia="zh-CN"/>
              </w:rPr>
            </w:pPr>
            <w:r>
              <w:rPr>
                <w:rFonts w:hint="default" w:ascii="Times New Roman" w:hAnsi="Times New Roman" w:eastAsia="仿宋" w:cs="Times New Roman"/>
                <w:kern w:val="0"/>
                <w:sz w:val="21"/>
                <w:szCs w:val="21"/>
                <w:lang w:val="en-US" w:eastAsia="zh-CN"/>
              </w:rPr>
              <w:t xml:space="preserve">63.33 </w:t>
            </w:r>
          </w:p>
        </w:tc>
        <w:tc>
          <w:tcPr>
            <w:tcW w:w="402" w:type="pct"/>
            <w:tcBorders>
              <w:top w:val="single" w:color="auto" w:sz="6" w:space="0"/>
            </w:tcBorders>
            <w:vAlign w:val="center"/>
          </w:tcPr>
          <w:p w14:paraId="43A15568">
            <w:pPr>
              <w:keepNext w:val="0"/>
              <w:keepLines w:val="0"/>
              <w:suppressLineNumbers w:val="0"/>
              <w:spacing w:before="0" w:beforeAutospacing="0" w:after="0" w:afterAutospacing="0" w:line="240" w:lineRule="auto"/>
              <w:ind w:left="0" w:right="0"/>
              <w:jc w:val="center"/>
              <w:rPr>
                <w:rFonts w:hint="eastAsia" w:ascii="Times New Roman" w:hAnsi="Times New Roman" w:eastAsia="仿宋" w:cs="Times New Roman"/>
                <w:kern w:val="0"/>
                <w:sz w:val="21"/>
                <w:szCs w:val="21"/>
                <w:lang w:val="en-US" w:eastAsia="zh-CN"/>
              </w:rPr>
            </w:pPr>
          </w:p>
        </w:tc>
      </w:tr>
      <w:tr w14:paraId="1D048903">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28" w:type="dxa"/>
            <w:bottom w:w="0" w:type="dxa"/>
            <w:right w:w="28" w:type="dxa"/>
          </w:tblCellMar>
        </w:tblPrEx>
        <w:trPr>
          <w:trHeight w:val="340" w:hRule="atLeast"/>
        </w:trPr>
        <w:tc>
          <w:tcPr>
            <w:tcW w:w="828" w:type="pct"/>
            <w:vMerge w:val="continue"/>
            <w:vAlign w:val="center"/>
          </w:tcPr>
          <w:p w14:paraId="2AB6224A">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p>
        </w:tc>
        <w:tc>
          <w:tcPr>
            <w:tcW w:w="539" w:type="pct"/>
            <w:tcBorders>
              <w:bottom w:val="single" w:color="auto" w:sz="4" w:space="0"/>
            </w:tcBorders>
            <w:vAlign w:val="center"/>
          </w:tcPr>
          <w:p w14:paraId="4918D0E2">
            <w:pPr>
              <w:keepNext w:val="0"/>
              <w:keepLines w:val="0"/>
              <w:suppressLineNumbers w:val="0"/>
              <w:spacing w:before="0" w:beforeAutospacing="0" w:after="0" w:afterAutospacing="0" w:line="240" w:lineRule="auto"/>
              <w:ind w:left="0" w:right="0"/>
              <w:jc w:val="center"/>
              <w:rPr>
                <w:rFonts w:hint="eastAsia" w:ascii="Times New Roman" w:hAnsi="Times New Roman" w:eastAsia="仿宋" w:cs="Times New Roman"/>
                <w:kern w:val="0"/>
                <w:sz w:val="21"/>
                <w:szCs w:val="21"/>
                <w:lang w:eastAsia="zh-CN"/>
              </w:rPr>
            </w:pPr>
            <w:r>
              <w:rPr>
                <w:rFonts w:hint="eastAsia" w:ascii="Times New Roman" w:hAnsi="Times New Roman" w:eastAsia="仿宋" w:cs="Times New Roman"/>
                <w:kern w:val="0"/>
                <w:sz w:val="21"/>
                <w:szCs w:val="21"/>
                <w:lang w:val="en-US" w:eastAsia="zh-CN"/>
              </w:rPr>
              <w:t>冬</w:t>
            </w:r>
          </w:p>
        </w:tc>
        <w:tc>
          <w:tcPr>
            <w:tcW w:w="781" w:type="pct"/>
            <w:tcBorders>
              <w:bottom w:val="single" w:color="auto" w:sz="4" w:space="0"/>
            </w:tcBorders>
            <w:vAlign w:val="center"/>
          </w:tcPr>
          <w:p w14:paraId="5446B18E">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132</w:t>
            </w:r>
          </w:p>
        </w:tc>
        <w:tc>
          <w:tcPr>
            <w:tcW w:w="781" w:type="pct"/>
            <w:tcBorders>
              <w:bottom w:val="single" w:color="auto" w:sz="4" w:space="0"/>
            </w:tcBorders>
            <w:vAlign w:val="center"/>
          </w:tcPr>
          <w:p w14:paraId="74351335">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77</w:t>
            </w:r>
          </w:p>
        </w:tc>
        <w:tc>
          <w:tcPr>
            <w:tcW w:w="887" w:type="pct"/>
            <w:tcBorders>
              <w:bottom w:val="single" w:color="auto" w:sz="4" w:space="0"/>
            </w:tcBorders>
            <w:vAlign w:val="center"/>
          </w:tcPr>
          <w:p w14:paraId="7314468B">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55</w:t>
            </w:r>
          </w:p>
        </w:tc>
        <w:tc>
          <w:tcPr>
            <w:tcW w:w="777" w:type="pct"/>
            <w:tcBorders>
              <w:bottom w:val="single" w:color="auto" w:sz="4" w:space="0"/>
            </w:tcBorders>
            <w:vAlign w:val="bottom"/>
          </w:tcPr>
          <w:p w14:paraId="258BE2FC">
            <w:pPr>
              <w:keepNext w:val="0"/>
              <w:keepLines w:val="0"/>
              <w:suppressLineNumbers w:val="0"/>
              <w:spacing w:before="0" w:beforeAutospacing="0" w:after="0" w:afterAutospacing="0" w:line="240" w:lineRule="auto"/>
              <w:ind w:left="0" w:right="0"/>
              <w:jc w:val="center"/>
              <w:rPr>
                <w:rFonts w:hint="eastAsia" w:ascii="Times New Roman" w:hAnsi="Times New Roman" w:eastAsia="仿宋" w:cs="Times New Roman"/>
                <w:kern w:val="0"/>
                <w:sz w:val="21"/>
                <w:szCs w:val="21"/>
                <w:lang w:val="en-US" w:eastAsia="zh-CN"/>
              </w:rPr>
            </w:pPr>
            <w:r>
              <w:rPr>
                <w:rFonts w:hint="default" w:ascii="Times New Roman" w:hAnsi="Times New Roman" w:eastAsia="仿宋" w:cs="Times New Roman"/>
                <w:kern w:val="0"/>
                <w:sz w:val="21"/>
                <w:szCs w:val="21"/>
                <w:lang w:val="en-US" w:eastAsia="zh-CN"/>
              </w:rPr>
              <w:t xml:space="preserve">58.33 </w:t>
            </w:r>
          </w:p>
        </w:tc>
        <w:tc>
          <w:tcPr>
            <w:tcW w:w="402" w:type="pct"/>
            <w:tcBorders>
              <w:bottom w:val="single" w:color="auto" w:sz="4" w:space="0"/>
            </w:tcBorders>
            <w:vAlign w:val="center"/>
          </w:tcPr>
          <w:p w14:paraId="5AFB8A1F">
            <w:pPr>
              <w:keepNext w:val="0"/>
              <w:keepLines w:val="0"/>
              <w:suppressLineNumbers w:val="0"/>
              <w:spacing w:before="0" w:beforeAutospacing="0" w:after="0" w:afterAutospacing="0" w:line="240" w:lineRule="auto"/>
              <w:ind w:left="0" w:right="0"/>
              <w:jc w:val="center"/>
              <w:rPr>
                <w:rFonts w:hint="eastAsia"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&gt;0.05</w:t>
            </w:r>
          </w:p>
        </w:tc>
      </w:tr>
      <w:tr w14:paraId="048844C0">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28" w:type="dxa"/>
            <w:bottom w:w="0" w:type="dxa"/>
            <w:right w:w="28" w:type="dxa"/>
          </w:tblCellMar>
        </w:tblPrEx>
        <w:trPr>
          <w:trHeight w:val="340" w:hRule="atLeast"/>
        </w:trPr>
        <w:tc>
          <w:tcPr>
            <w:tcW w:w="828" w:type="pct"/>
            <w:vMerge w:val="restart"/>
            <w:vAlign w:val="top"/>
          </w:tcPr>
          <w:p w14:paraId="2AD03719">
            <w:pPr>
              <w:keepNext w:val="0"/>
              <w:keepLines w:val="0"/>
              <w:suppressLineNumbers w:val="0"/>
              <w:spacing w:before="0" w:beforeAutospacing="0" w:after="0" w:afterAutospacing="0" w:line="240" w:lineRule="auto"/>
              <w:ind w:left="0" w:right="0"/>
              <w:jc w:val="both"/>
              <w:rPr>
                <w:rFonts w:hint="default" w:ascii="Times New Roman" w:hAnsi="Times New Roman" w:eastAsia="仿宋" w:cs="Times New Roman"/>
                <w:kern w:val="0"/>
                <w:sz w:val="21"/>
                <w:szCs w:val="21"/>
              </w:rPr>
            </w:pPr>
            <w:r>
              <w:rPr>
                <w:rFonts w:hint="eastAsia" w:ascii="Times New Roman" w:hAnsi="Times New Roman" w:eastAsia="仿宋" w:cs="Times New Roman"/>
                <w:kern w:val="0"/>
                <w:sz w:val="21"/>
                <w:szCs w:val="21"/>
                <w:lang w:eastAsia="zh-CN"/>
              </w:rPr>
              <w:t>LS</w:t>
            </w:r>
          </w:p>
        </w:tc>
        <w:tc>
          <w:tcPr>
            <w:tcW w:w="539" w:type="pct"/>
            <w:tcBorders>
              <w:top w:val="single" w:color="auto" w:sz="4" w:space="0"/>
              <w:bottom w:val="nil"/>
            </w:tcBorders>
            <w:vAlign w:val="center"/>
          </w:tcPr>
          <w:p w14:paraId="5C23BDDD">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eastAsia" w:ascii="Times New Roman" w:hAnsi="Times New Roman" w:eastAsia="仿宋" w:cs="Times New Roman"/>
                <w:kern w:val="0"/>
                <w:sz w:val="21"/>
                <w:szCs w:val="21"/>
                <w:lang w:val="en-US" w:eastAsia="zh-CN"/>
              </w:rPr>
              <w:t>夏</w:t>
            </w:r>
          </w:p>
        </w:tc>
        <w:tc>
          <w:tcPr>
            <w:tcW w:w="781" w:type="pct"/>
            <w:tcBorders>
              <w:top w:val="single" w:color="auto" w:sz="4" w:space="0"/>
              <w:bottom w:val="nil"/>
            </w:tcBorders>
            <w:vAlign w:val="center"/>
          </w:tcPr>
          <w:p w14:paraId="16C165A4">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120</w:t>
            </w:r>
          </w:p>
        </w:tc>
        <w:tc>
          <w:tcPr>
            <w:tcW w:w="781" w:type="pct"/>
            <w:tcBorders>
              <w:top w:val="single" w:color="auto" w:sz="4" w:space="0"/>
              <w:bottom w:val="nil"/>
            </w:tcBorders>
            <w:vAlign w:val="center"/>
          </w:tcPr>
          <w:p w14:paraId="54424952">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103</w:t>
            </w:r>
          </w:p>
        </w:tc>
        <w:tc>
          <w:tcPr>
            <w:tcW w:w="887" w:type="pct"/>
            <w:tcBorders>
              <w:top w:val="single" w:color="auto" w:sz="4" w:space="0"/>
              <w:bottom w:val="nil"/>
            </w:tcBorders>
            <w:vAlign w:val="center"/>
          </w:tcPr>
          <w:p w14:paraId="0F189CA6">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17</w:t>
            </w:r>
          </w:p>
        </w:tc>
        <w:tc>
          <w:tcPr>
            <w:tcW w:w="777" w:type="pct"/>
            <w:tcBorders>
              <w:top w:val="single" w:color="auto" w:sz="4" w:space="0"/>
              <w:bottom w:val="nil"/>
            </w:tcBorders>
            <w:vAlign w:val="bottom"/>
          </w:tcPr>
          <w:p w14:paraId="49C04B3E">
            <w:pPr>
              <w:keepNext w:val="0"/>
              <w:keepLines w:val="0"/>
              <w:suppressLineNumbers w:val="0"/>
              <w:spacing w:before="0" w:beforeAutospacing="0" w:after="0" w:afterAutospacing="0" w:line="240" w:lineRule="auto"/>
              <w:ind w:left="0" w:right="0"/>
              <w:jc w:val="center"/>
              <w:rPr>
                <w:rFonts w:hint="eastAsia" w:ascii="Times New Roman" w:hAnsi="Times New Roman" w:eastAsia="仿宋" w:cs="Times New Roman"/>
                <w:kern w:val="0"/>
                <w:sz w:val="21"/>
                <w:szCs w:val="21"/>
                <w:lang w:val="en-US" w:eastAsia="zh-CN"/>
              </w:rPr>
            </w:pPr>
            <w:r>
              <w:rPr>
                <w:rFonts w:hint="default" w:ascii="Times New Roman" w:hAnsi="Times New Roman" w:eastAsia="仿宋" w:cs="Times New Roman"/>
                <w:kern w:val="0"/>
                <w:sz w:val="21"/>
                <w:szCs w:val="21"/>
                <w:lang w:val="en-US" w:eastAsia="zh-CN"/>
              </w:rPr>
              <w:t xml:space="preserve">85.83 </w:t>
            </w:r>
          </w:p>
        </w:tc>
        <w:tc>
          <w:tcPr>
            <w:tcW w:w="402" w:type="pct"/>
            <w:tcBorders>
              <w:top w:val="single" w:color="auto" w:sz="4" w:space="0"/>
              <w:bottom w:val="nil"/>
            </w:tcBorders>
            <w:vAlign w:val="center"/>
          </w:tcPr>
          <w:p w14:paraId="1449A83E">
            <w:pPr>
              <w:keepNext w:val="0"/>
              <w:keepLines w:val="0"/>
              <w:suppressLineNumbers w:val="0"/>
              <w:spacing w:before="0" w:beforeAutospacing="0" w:after="0" w:afterAutospacing="0" w:line="240" w:lineRule="auto"/>
              <w:ind w:left="0" w:right="0"/>
              <w:jc w:val="center"/>
              <w:rPr>
                <w:rFonts w:hint="eastAsia" w:ascii="Times New Roman" w:hAnsi="Times New Roman" w:eastAsia="仿宋" w:cs="Times New Roman"/>
                <w:kern w:val="0"/>
                <w:sz w:val="21"/>
                <w:szCs w:val="21"/>
                <w:lang w:val="en-US" w:eastAsia="zh-CN"/>
              </w:rPr>
            </w:pPr>
          </w:p>
        </w:tc>
      </w:tr>
      <w:tr w14:paraId="113907A0">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28" w:type="dxa"/>
            <w:bottom w:w="0" w:type="dxa"/>
            <w:right w:w="28" w:type="dxa"/>
          </w:tblCellMar>
        </w:tblPrEx>
        <w:trPr>
          <w:trHeight w:val="340" w:hRule="atLeast"/>
        </w:trPr>
        <w:tc>
          <w:tcPr>
            <w:tcW w:w="828" w:type="pct"/>
            <w:vMerge w:val="continue"/>
          </w:tcPr>
          <w:p w14:paraId="0B05CF6D">
            <w:pPr>
              <w:keepNext w:val="0"/>
              <w:keepLines w:val="0"/>
              <w:suppressLineNumbers w:val="0"/>
              <w:spacing w:before="0" w:beforeAutospacing="0" w:after="0" w:afterAutospacing="0" w:line="240" w:lineRule="auto"/>
              <w:ind w:left="0" w:right="0"/>
              <w:rPr>
                <w:rFonts w:hint="default" w:ascii="Times New Roman" w:hAnsi="Times New Roman" w:eastAsia="仿宋" w:cs="Times New Roman"/>
                <w:kern w:val="0"/>
                <w:sz w:val="21"/>
                <w:szCs w:val="21"/>
              </w:rPr>
            </w:pPr>
          </w:p>
        </w:tc>
        <w:tc>
          <w:tcPr>
            <w:tcW w:w="539" w:type="pct"/>
            <w:tcBorders>
              <w:top w:val="nil"/>
              <w:bottom w:val="single" w:color="auto" w:sz="4" w:space="0"/>
            </w:tcBorders>
            <w:vAlign w:val="center"/>
          </w:tcPr>
          <w:p w14:paraId="3FF0432C">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eastAsia" w:ascii="Times New Roman" w:hAnsi="Times New Roman" w:eastAsia="仿宋" w:cs="Times New Roman"/>
                <w:kern w:val="0"/>
                <w:sz w:val="21"/>
                <w:szCs w:val="21"/>
                <w:lang w:val="en-US" w:eastAsia="zh-CN"/>
              </w:rPr>
              <w:t>冬</w:t>
            </w:r>
          </w:p>
        </w:tc>
        <w:tc>
          <w:tcPr>
            <w:tcW w:w="781" w:type="pct"/>
            <w:tcBorders>
              <w:top w:val="nil"/>
              <w:bottom w:val="single" w:color="auto" w:sz="4" w:space="0"/>
            </w:tcBorders>
            <w:vAlign w:val="center"/>
          </w:tcPr>
          <w:p w14:paraId="158A7E39">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132</w:t>
            </w:r>
          </w:p>
        </w:tc>
        <w:tc>
          <w:tcPr>
            <w:tcW w:w="781" w:type="pct"/>
            <w:tcBorders>
              <w:top w:val="nil"/>
              <w:bottom w:val="single" w:color="auto" w:sz="4" w:space="0"/>
            </w:tcBorders>
            <w:vAlign w:val="center"/>
          </w:tcPr>
          <w:p w14:paraId="60C42218">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113</w:t>
            </w:r>
          </w:p>
        </w:tc>
        <w:tc>
          <w:tcPr>
            <w:tcW w:w="887" w:type="pct"/>
            <w:tcBorders>
              <w:top w:val="nil"/>
              <w:bottom w:val="single" w:color="auto" w:sz="4" w:space="0"/>
            </w:tcBorders>
            <w:vAlign w:val="center"/>
          </w:tcPr>
          <w:p w14:paraId="40DAAFFA">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19</w:t>
            </w:r>
          </w:p>
        </w:tc>
        <w:tc>
          <w:tcPr>
            <w:tcW w:w="777" w:type="pct"/>
            <w:tcBorders>
              <w:top w:val="nil"/>
              <w:bottom w:val="single" w:color="auto" w:sz="4" w:space="0"/>
            </w:tcBorders>
            <w:vAlign w:val="bottom"/>
          </w:tcPr>
          <w:p w14:paraId="71CF885D">
            <w:pPr>
              <w:keepNext w:val="0"/>
              <w:keepLines w:val="0"/>
              <w:suppressLineNumbers w:val="0"/>
              <w:spacing w:before="0" w:beforeAutospacing="0" w:after="0" w:afterAutospacing="0" w:line="240" w:lineRule="auto"/>
              <w:ind w:left="0" w:right="0"/>
              <w:jc w:val="center"/>
              <w:rPr>
                <w:rFonts w:hint="eastAsia" w:ascii="Times New Roman" w:hAnsi="Times New Roman" w:eastAsia="仿宋" w:cs="Times New Roman"/>
                <w:kern w:val="0"/>
                <w:sz w:val="21"/>
                <w:szCs w:val="21"/>
                <w:lang w:val="en-US" w:eastAsia="zh-CN"/>
              </w:rPr>
            </w:pPr>
            <w:r>
              <w:rPr>
                <w:rFonts w:hint="default" w:ascii="Times New Roman" w:hAnsi="Times New Roman" w:eastAsia="仿宋" w:cs="Times New Roman"/>
                <w:kern w:val="0"/>
                <w:sz w:val="21"/>
                <w:szCs w:val="21"/>
                <w:lang w:val="en-US" w:eastAsia="zh-CN"/>
              </w:rPr>
              <w:t xml:space="preserve">85.61 </w:t>
            </w:r>
          </w:p>
        </w:tc>
        <w:tc>
          <w:tcPr>
            <w:tcW w:w="402" w:type="pct"/>
            <w:tcBorders>
              <w:top w:val="nil"/>
              <w:bottom w:val="single" w:color="auto" w:sz="4" w:space="0"/>
            </w:tcBorders>
            <w:vAlign w:val="center"/>
          </w:tcPr>
          <w:p w14:paraId="0E412FA2">
            <w:pPr>
              <w:keepNext w:val="0"/>
              <w:keepLines w:val="0"/>
              <w:suppressLineNumbers w:val="0"/>
              <w:spacing w:before="0" w:beforeAutospacing="0" w:after="0" w:afterAutospacing="0" w:line="240" w:lineRule="auto"/>
              <w:ind w:left="0" w:right="0"/>
              <w:jc w:val="center"/>
              <w:rPr>
                <w:rFonts w:hint="eastAsia"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&gt;0.05</w:t>
            </w:r>
          </w:p>
        </w:tc>
      </w:tr>
      <w:tr w14:paraId="225E1365">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28" w:type="dxa"/>
            <w:bottom w:w="0" w:type="dxa"/>
            <w:right w:w="28" w:type="dxa"/>
          </w:tblCellMar>
        </w:tblPrEx>
        <w:trPr>
          <w:trHeight w:val="380" w:hRule="atLeast"/>
        </w:trPr>
        <w:tc>
          <w:tcPr>
            <w:tcW w:w="828" w:type="pct"/>
            <w:vMerge w:val="restart"/>
            <w:vAlign w:val="top"/>
          </w:tcPr>
          <w:p w14:paraId="379D7D23">
            <w:pPr>
              <w:keepNext w:val="0"/>
              <w:keepLines w:val="0"/>
              <w:suppressLineNumbers w:val="0"/>
              <w:spacing w:before="0" w:beforeAutospacing="0" w:after="0" w:afterAutospacing="0" w:line="240" w:lineRule="auto"/>
              <w:ind w:left="0" w:right="0"/>
              <w:jc w:val="both"/>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SKC法</w:t>
            </w:r>
          </w:p>
        </w:tc>
        <w:tc>
          <w:tcPr>
            <w:tcW w:w="539" w:type="pct"/>
            <w:tcBorders>
              <w:top w:val="single" w:color="auto" w:sz="4" w:space="0"/>
            </w:tcBorders>
            <w:vAlign w:val="center"/>
          </w:tcPr>
          <w:p w14:paraId="6D48923E">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eastAsia" w:ascii="Times New Roman" w:hAnsi="Times New Roman" w:eastAsia="仿宋" w:cs="Times New Roman"/>
                <w:kern w:val="0"/>
                <w:sz w:val="21"/>
                <w:szCs w:val="21"/>
                <w:lang w:val="en-US" w:eastAsia="zh-CN"/>
              </w:rPr>
              <w:t>夏</w:t>
            </w:r>
          </w:p>
        </w:tc>
        <w:tc>
          <w:tcPr>
            <w:tcW w:w="781" w:type="pct"/>
            <w:tcBorders>
              <w:top w:val="single" w:color="auto" w:sz="4" w:space="0"/>
            </w:tcBorders>
            <w:vAlign w:val="center"/>
          </w:tcPr>
          <w:p w14:paraId="2CB4C601">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40</w:t>
            </w:r>
          </w:p>
        </w:tc>
        <w:tc>
          <w:tcPr>
            <w:tcW w:w="781" w:type="pct"/>
            <w:tcBorders>
              <w:top w:val="single" w:color="auto" w:sz="4" w:space="0"/>
            </w:tcBorders>
            <w:vAlign w:val="center"/>
          </w:tcPr>
          <w:p w14:paraId="2BDF3067">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36</w:t>
            </w:r>
          </w:p>
        </w:tc>
        <w:tc>
          <w:tcPr>
            <w:tcW w:w="887" w:type="pct"/>
            <w:tcBorders>
              <w:top w:val="single" w:color="auto" w:sz="4" w:space="0"/>
            </w:tcBorders>
            <w:vAlign w:val="center"/>
          </w:tcPr>
          <w:p w14:paraId="28AF3080">
            <w:pPr>
              <w:keepNext w:val="0"/>
              <w:keepLines w:val="0"/>
              <w:suppressLineNumbers w:val="0"/>
              <w:spacing w:before="0" w:beforeAutospacing="0" w:after="0" w:afterAutospacing="0" w:line="240" w:lineRule="auto"/>
              <w:ind w:left="0" w:right="0"/>
              <w:jc w:val="center"/>
              <w:rPr>
                <w:rFonts w:hint="eastAsia" w:ascii="Times New Roman" w:hAnsi="Times New Roman" w:eastAsia="仿宋" w:cs="Times New Roman"/>
                <w:kern w:val="0"/>
                <w:sz w:val="21"/>
                <w:szCs w:val="21"/>
                <w:lang w:eastAsia="zh-CN"/>
              </w:rPr>
            </w:pPr>
            <w:r>
              <w:rPr>
                <w:rFonts w:hint="eastAsia" w:ascii="Times New Roman" w:hAnsi="Times New Roman" w:eastAsia="仿宋" w:cs="Times New Roman"/>
                <w:kern w:val="0"/>
                <w:sz w:val="21"/>
                <w:szCs w:val="21"/>
                <w:lang w:val="en-US" w:eastAsia="zh-CN"/>
              </w:rPr>
              <w:t>4</w:t>
            </w:r>
          </w:p>
        </w:tc>
        <w:tc>
          <w:tcPr>
            <w:tcW w:w="777" w:type="pct"/>
            <w:tcBorders>
              <w:top w:val="single" w:color="auto" w:sz="4" w:space="0"/>
            </w:tcBorders>
            <w:vAlign w:val="bottom"/>
          </w:tcPr>
          <w:p w14:paraId="5EBBC929">
            <w:pPr>
              <w:keepNext w:val="0"/>
              <w:keepLines w:val="0"/>
              <w:suppressLineNumbers w:val="0"/>
              <w:spacing w:before="0" w:beforeAutospacing="0" w:after="0" w:afterAutospacing="0" w:line="240" w:lineRule="auto"/>
              <w:ind w:left="0" w:right="0"/>
              <w:jc w:val="center"/>
              <w:rPr>
                <w:rFonts w:hint="eastAsia" w:ascii="Times New Roman" w:hAnsi="Times New Roman" w:eastAsia="仿宋" w:cs="Times New Roman"/>
                <w:kern w:val="0"/>
                <w:sz w:val="21"/>
                <w:szCs w:val="21"/>
                <w:lang w:val="en-US" w:eastAsia="zh-CN"/>
              </w:rPr>
            </w:pPr>
            <w:r>
              <w:rPr>
                <w:rFonts w:hint="default" w:ascii="Times New Roman" w:hAnsi="Times New Roman" w:eastAsia="仿宋" w:cs="Times New Roman"/>
                <w:kern w:val="0"/>
                <w:sz w:val="21"/>
                <w:szCs w:val="21"/>
                <w:lang w:val="en-US" w:eastAsia="zh-CN"/>
              </w:rPr>
              <w:t xml:space="preserve">90.00 </w:t>
            </w:r>
          </w:p>
        </w:tc>
        <w:tc>
          <w:tcPr>
            <w:tcW w:w="402" w:type="pct"/>
            <w:tcBorders>
              <w:top w:val="single" w:color="auto" w:sz="4" w:space="0"/>
            </w:tcBorders>
            <w:vAlign w:val="center"/>
          </w:tcPr>
          <w:p w14:paraId="202EC9B1">
            <w:pPr>
              <w:keepNext w:val="0"/>
              <w:keepLines w:val="0"/>
              <w:suppressLineNumbers w:val="0"/>
              <w:spacing w:before="0" w:beforeAutospacing="0" w:after="0" w:afterAutospacing="0" w:line="240" w:lineRule="auto"/>
              <w:ind w:left="0" w:right="0"/>
              <w:jc w:val="center"/>
              <w:rPr>
                <w:rFonts w:hint="eastAsia" w:ascii="Times New Roman" w:hAnsi="Times New Roman" w:eastAsia="仿宋" w:cs="Times New Roman"/>
                <w:kern w:val="0"/>
                <w:sz w:val="21"/>
                <w:szCs w:val="21"/>
                <w:lang w:val="en-US" w:eastAsia="zh-CN"/>
              </w:rPr>
            </w:pPr>
          </w:p>
        </w:tc>
      </w:tr>
      <w:tr w14:paraId="0E5208F4">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28" w:type="dxa"/>
            <w:bottom w:w="0" w:type="dxa"/>
            <w:right w:w="28" w:type="dxa"/>
          </w:tblCellMar>
        </w:tblPrEx>
        <w:trPr>
          <w:trHeight w:val="340" w:hRule="atLeast"/>
        </w:trPr>
        <w:tc>
          <w:tcPr>
            <w:tcW w:w="828" w:type="pct"/>
            <w:vMerge w:val="continue"/>
            <w:vAlign w:val="center"/>
          </w:tcPr>
          <w:p w14:paraId="60E3740A">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p>
        </w:tc>
        <w:tc>
          <w:tcPr>
            <w:tcW w:w="539" w:type="pct"/>
            <w:vAlign w:val="center"/>
          </w:tcPr>
          <w:p w14:paraId="5E977CEB">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eastAsia" w:ascii="Times New Roman" w:hAnsi="Times New Roman" w:eastAsia="仿宋" w:cs="Times New Roman"/>
                <w:kern w:val="0"/>
                <w:sz w:val="21"/>
                <w:szCs w:val="21"/>
                <w:lang w:val="en-US" w:eastAsia="zh-CN"/>
              </w:rPr>
              <w:t>冬</w:t>
            </w:r>
          </w:p>
        </w:tc>
        <w:tc>
          <w:tcPr>
            <w:tcW w:w="781" w:type="pct"/>
            <w:vAlign w:val="center"/>
          </w:tcPr>
          <w:p w14:paraId="2C7458ED">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44</w:t>
            </w:r>
          </w:p>
        </w:tc>
        <w:tc>
          <w:tcPr>
            <w:tcW w:w="781" w:type="pct"/>
            <w:vAlign w:val="center"/>
          </w:tcPr>
          <w:p w14:paraId="376A39F4">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33</w:t>
            </w:r>
          </w:p>
        </w:tc>
        <w:tc>
          <w:tcPr>
            <w:tcW w:w="887" w:type="pct"/>
            <w:vAlign w:val="center"/>
          </w:tcPr>
          <w:p w14:paraId="5138EA55">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11</w:t>
            </w:r>
          </w:p>
        </w:tc>
        <w:tc>
          <w:tcPr>
            <w:tcW w:w="777" w:type="pct"/>
            <w:vAlign w:val="bottom"/>
          </w:tcPr>
          <w:p w14:paraId="1CD46302">
            <w:pPr>
              <w:keepNext w:val="0"/>
              <w:keepLines w:val="0"/>
              <w:suppressLineNumbers w:val="0"/>
              <w:spacing w:before="0" w:beforeAutospacing="0" w:after="0" w:afterAutospacing="0" w:line="240" w:lineRule="auto"/>
              <w:ind w:left="0" w:right="0"/>
              <w:jc w:val="center"/>
              <w:rPr>
                <w:rFonts w:hint="eastAsia" w:ascii="Times New Roman" w:hAnsi="Times New Roman" w:eastAsia="仿宋" w:cs="Times New Roman"/>
                <w:kern w:val="0"/>
                <w:sz w:val="21"/>
                <w:szCs w:val="21"/>
                <w:lang w:val="en-US" w:eastAsia="zh-CN"/>
              </w:rPr>
            </w:pPr>
            <w:r>
              <w:rPr>
                <w:rFonts w:hint="default" w:ascii="Times New Roman" w:hAnsi="Times New Roman" w:eastAsia="仿宋" w:cs="Times New Roman"/>
                <w:kern w:val="0"/>
                <w:sz w:val="21"/>
                <w:szCs w:val="21"/>
                <w:lang w:val="en-US" w:eastAsia="zh-CN"/>
              </w:rPr>
              <w:t xml:space="preserve">75.00 </w:t>
            </w:r>
          </w:p>
        </w:tc>
        <w:tc>
          <w:tcPr>
            <w:tcW w:w="402" w:type="pct"/>
            <w:vAlign w:val="center"/>
          </w:tcPr>
          <w:p w14:paraId="24FC699B">
            <w:pPr>
              <w:keepNext w:val="0"/>
              <w:keepLines w:val="0"/>
              <w:suppressLineNumbers w:val="0"/>
              <w:spacing w:before="0" w:beforeAutospacing="0" w:after="0" w:afterAutospacing="0" w:line="240" w:lineRule="auto"/>
              <w:ind w:left="0" w:right="0"/>
              <w:jc w:val="center"/>
              <w:rPr>
                <w:rFonts w:hint="eastAsia"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&gt;0.05</w:t>
            </w:r>
          </w:p>
        </w:tc>
      </w:tr>
    </w:tbl>
    <w:p w14:paraId="7056245B">
      <w:pPr>
        <w:spacing w:line="240" w:lineRule="auto"/>
        <w:ind w:firstLine="482" w:firstLineChars="200"/>
        <w:rPr>
          <w:rFonts w:hint="eastAsia" w:ascii="Times New Roman" w:hAnsi="Times New Roman" w:eastAsia="仿宋" w:cs="Times New Roman"/>
          <w:b/>
          <w:bCs/>
          <w:sz w:val="24"/>
          <w:szCs w:val="24"/>
        </w:rPr>
      </w:pPr>
      <w:r>
        <w:rPr>
          <w:rFonts w:hint="eastAsia" w:ascii="Times New Roman" w:hAnsi="Times New Roman" w:eastAsia="仿宋" w:cs="Times New Roman"/>
          <w:b/>
          <w:bCs/>
          <w:sz w:val="24"/>
          <w:szCs w:val="24"/>
        </w:rPr>
        <w:t>检出率比较结果显示：在识别空气微生物是否存在方面，三种设备表现存在差异。整体上，SKC与</w:t>
      </w:r>
      <w:r>
        <w:rPr>
          <w:rFonts w:hint="eastAsia" w:ascii="Times New Roman" w:hAnsi="Times New Roman" w:eastAsia="仿宋" w:cs="Times New Roman"/>
          <w:b/>
          <w:bCs/>
          <w:sz w:val="24"/>
          <w:szCs w:val="24"/>
          <w:lang w:val="en-US" w:eastAsia="zh-CN"/>
        </w:rPr>
        <w:t>LS</w:t>
      </w:r>
      <w:r>
        <w:rPr>
          <w:rFonts w:hint="eastAsia" w:ascii="Times New Roman" w:hAnsi="Times New Roman" w:eastAsia="仿宋" w:cs="Times New Roman"/>
          <w:b/>
          <w:bCs/>
          <w:sz w:val="24"/>
          <w:szCs w:val="24"/>
        </w:rPr>
        <w:t>在夏、冬两季对细菌和真菌的检出率最高（细菌：70.45%-85.00%；真菌：75.00%-90.00%）。大流量</w:t>
      </w:r>
      <w:r>
        <w:rPr>
          <w:rFonts w:hint="eastAsia" w:ascii="Times New Roman" w:hAnsi="Times New Roman" w:eastAsia="仿宋" w:cs="Times New Roman"/>
          <w:b/>
          <w:bCs/>
          <w:sz w:val="24"/>
          <w:szCs w:val="24"/>
          <w:lang w:val="en-US" w:eastAsia="zh-CN"/>
        </w:rPr>
        <w:t>的</w:t>
      </w:r>
      <w:r>
        <w:rPr>
          <w:rFonts w:hint="eastAsia" w:ascii="Times New Roman" w:hAnsi="Times New Roman" w:eastAsia="仿宋" w:cs="Times New Roman"/>
          <w:b/>
          <w:bCs/>
          <w:sz w:val="24"/>
          <w:szCs w:val="24"/>
        </w:rPr>
        <w:t>检出率相对较低（细菌：65.15%-67.50%；真菌：58.33%-63.03%），统计检验表明其与</w:t>
      </w:r>
      <w:r>
        <w:rPr>
          <w:rFonts w:hint="eastAsia" w:ascii="Times New Roman" w:hAnsi="Times New Roman" w:eastAsia="仿宋" w:cs="Times New Roman"/>
          <w:b/>
          <w:bCs/>
          <w:sz w:val="24"/>
          <w:szCs w:val="24"/>
          <w:lang w:val="en-US" w:eastAsia="zh-CN"/>
        </w:rPr>
        <w:t>三种设备</w:t>
      </w:r>
      <w:r>
        <w:rPr>
          <w:rFonts w:hint="eastAsia" w:ascii="Times New Roman" w:hAnsi="Times New Roman" w:eastAsia="仿宋" w:cs="Times New Roman"/>
          <w:b/>
          <w:bCs/>
          <w:sz w:val="24"/>
          <w:szCs w:val="24"/>
        </w:rPr>
        <w:t>检出率存在显著差异（</w:t>
      </w:r>
      <w:r>
        <w:rPr>
          <w:rFonts w:hint="eastAsia" w:ascii="Times New Roman" w:hAnsi="Times New Roman" w:eastAsia="仿宋" w:cs="Times New Roman"/>
          <w:b/>
          <w:bCs/>
          <w:i/>
          <w:iCs/>
          <w:sz w:val="24"/>
          <w:szCs w:val="24"/>
          <w:lang w:val="en-US" w:eastAsia="zh-CN"/>
        </w:rPr>
        <w:t>P</w:t>
      </w:r>
      <w:r>
        <w:rPr>
          <w:rFonts w:hint="eastAsia" w:ascii="Times New Roman" w:hAnsi="Times New Roman" w:eastAsia="仿宋" w:cs="Times New Roman"/>
          <w:b/>
          <w:bCs/>
          <w:sz w:val="24"/>
          <w:szCs w:val="24"/>
        </w:rPr>
        <w:t>&lt;0.05）。大流量的检出率不受季节影响（</w:t>
      </w:r>
      <w:r>
        <w:rPr>
          <w:rFonts w:hint="eastAsia" w:ascii="Times New Roman" w:hAnsi="Times New Roman" w:eastAsia="仿宋" w:cs="Times New Roman"/>
          <w:b/>
          <w:bCs/>
          <w:i/>
          <w:iCs/>
          <w:sz w:val="24"/>
          <w:szCs w:val="24"/>
          <w:lang w:val="en-US" w:eastAsia="zh-CN"/>
        </w:rPr>
        <w:t>P</w:t>
      </w:r>
      <w:r>
        <w:rPr>
          <w:rFonts w:hint="eastAsia" w:ascii="Times New Roman" w:hAnsi="Times New Roman" w:eastAsia="仿宋" w:cs="Times New Roman"/>
          <w:b/>
          <w:bCs/>
          <w:sz w:val="24"/>
          <w:szCs w:val="24"/>
        </w:rPr>
        <w:t>&gt;0.05），显示出其性能在不同环境条件下的稳定性。这表明，液体气旋原理均能实现微生物采集，但不同设备设计的灵敏度有高低。</w:t>
      </w:r>
    </w:p>
    <w:p w14:paraId="1043560E">
      <w:pPr>
        <w:pStyle w:val="4"/>
        <w:spacing w:line="240" w:lineRule="auto"/>
        <w:ind w:firstLine="482"/>
        <w:rPr>
          <w:rFonts w:cs="Times New Roman"/>
        </w:rPr>
      </w:pPr>
      <w:bookmarkStart w:id="250" w:name="_Toc177563295"/>
      <w:bookmarkStart w:id="251" w:name="_Toc2647"/>
      <w:r>
        <w:rPr>
          <w:rFonts w:hint="eastAsia" w:cs="Times New Roman"/>
        </w:rPr>
        <w:t>2）超标率</w:t>
      </w:r>
      <w:bookmarkEnd w:id="250"/>
      <w:bookmarkEnd w:id="251"/>
    </w:p>
    <w:p w14:paraId="0249167B">
      <w:pPr>
        <w:spacing w:line="240" w:lineRule="auto"/>
        <w:ind w:firstLine="480" w:firstLineChars="200"/>
        <w:rPr>
          <w:rFonts w:ascii="Times New Roman" w:hAnsi="Times New Roman" w:eastAsia="仿宋" w:cs="Times New Roman"/>
          <w:sz w:val="24"/>
          <w:szCs w:val="24"/>
        </w:rPr>
      </w:pPr>
      <w:r>
        <w:rPr>
          <w:rFonts w:hint="eastAsia" w:ascii="Times New Roman" w:hAnsi="Times New Roman" w:eastAsia="仿宋" w:cs="Times New Roman"/>
          <w:sz w:val="24"/>
          <w:szCs w:val="24"/>
        </w:rPr>
        <w:t>使用样本超标率作为评价指标，衡量新方法对</w:t>
      </w:r>
      <w:r>
        <w:rPr>
          <w:rFonts w:hint="eastAsia" w:ascii="Times New Roman" w:hAnsi="Times New Roman" w:eastAsia="仿宋" w:cs="Times New Roman"/>
          <w:b/>
          <w:sz w:val="24"/>
          <w:szCs w:val="24"/>
        </w:rPr>
        <w:t>高浓度样品采样检测</w:t>
      </w:r>
      <w:r>
        <w:rPr>
          <w:rFonts w:hint="eastAsia" w:ascii="Times New Roman" w:hAnsi="Times New Roman" w:eastAsia="仿宋" w:cs="Times New Roman"/>
          <w:sz w:val="24"/>
          <w:szCs w:val="24"/>
        </w:rPr>
        <w:t>的可行性。评价原则要点：</w:t>
      </w:r>
    </w:p>
    <w:p w14:paraId="129106F4">
      <w:pPr>
        <w:pStyle w:val="46"/>
        <w:numPr>
          <w:ilvl w:val="0"/>
          <w:numId w:val="6"/>
        </w:numPr>
        <w:spacing w:line="240" w:lineRule="auto"/>
        <w:ind w:firstLineChars="0"/>
        <w:rPr>
          <w:rFonts w:hint="eastAsia"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对于单个样品，分析发现：</w:t>
      </w:r>
    </w:p>
    <w:p w14:paraId="60C476FC">
      <w:pPr>
        <w:spacing w:line="240" w:lineRule="auto"/>
        <w:ind w:firstLine="480" w:firstLineChars="200"/>
        <w:rPr>
          <w:rFonts w:ascii="Times New Roman" w:hAnsi="Times New Roman" w:eastAsia="仿宋" w:cs="Times New Roman"/>
          <w:sz w:val="24"/>
          <w:szCs w:val="24"/>
          <w:highlight w:val="none"/>
        </w:rPr>
      </w:pPr>
      <w:r>
        <w:rPr>
          <w:rFonts w:hint="eastAsia" w:ascii="Times New Roman" w:hAnsi="Times New Roman" w:eastAsia="仿宋" w:cs="Times New Roman"/>
          <w:sz w:val="24"/>
          <w:szCs w:val="24"/>
          <w:highlight w:val="none"/>
        </w:rPr>
        <w:t>细菌总数：</w:t>
      </w:r>
      <w:r>
        <w:rPr>
          <w:rFonts w:hint="eastAsia" w:ascii="Times New Roman" w:hAnsi="Times New Roman" w:eastAsia="仿宋" w:cs="Times New Roman"/>
          <w:sz w:val="24"/>
          <w:szCs w:val="24"/>
          <w:highlight w:val="none"/>
          <w:lang w:val="en-US" w:eastAsia="zh-CN"/>
        </w:rPr>
        <w:t>在</w:t>
      </w:r>
      <w:r>
        <w:rPr>
          <w:rFonts w:hint="eastAsia" w:ascii="Times New Roman" w:hAnsi="Times New Roman" w:eastAsia="仿宋" w:cs="Times New Roman"/>
          <w:b/>
          <w:bCs/>
          <w:sz w:val="24"/>
          <w:szCs w:val="24"/>
          <w:highlight w:val="none"/>
          <w:lang w:val="en-US" w:eastAsia="zh-CN"/>
        </w:rPr>
        <w:t>夏季</w:t>
      </w:r>
      <w:r>
        <w:rPr>
          <w:rFonts w:hint="eastAsia" w:ascii="Times New Roman" w:hAnsi="Times New Roman" w:eastAsia="仿宋" w:cs="Times New Roman"/>
          <w:sz w:val="24"/>
          <w:szCs w:val="24"/>
          <w:highlight w:val="none"/>
          <w:lang w:eastAsia="zh-CN"/>
        </w:rPr>
        <w:t>大流量</w:t>
      </w:r>
      <w:r>
        <w:rPr>
          <w:rFonts w:hint="eastAsia" w:ascii="Times New Roman" w:hAnsi="Times New Roman" w:eastAsia="仿宋" w:cs="Times New Roman"/>
          <w:sz w:val="24"/>
          <w:szCs w:val="24"/>
          <w:highlight w:val="none"/>
        </w:rPr>
        <w:t>结果全部不超标；</w:t>
      </w:r>
      <w:r>
        <w:rPr>
          <w:rFonts w:hint="eastAsia" w:ascii="Times New Roman" w:hAnsi="Times New Roman" w:eastAsia="仿宋" w:cs="Times New Roman"/>
          <w:sz w:val="24"/>
          <w:szCs w:val="24"/>
          <w:highlight w:val="none"/>
          <w:lang w:eastAsia="zh-CN"/>
        </w:rPr>
        <w:t>LS</w:t>
      </w:r>
      <w:r>
        <w:rPr>
          <w:rFonts w:hint="eastAsia" w:ascii="Times New Roman" w:hAnsi="Times New Roman" w:eastAsia="仿宋" w:cs="Times New Roman"/>
          <w:sz w:val="24"/>
          <w:szCs w:val="24"/>
          <w:highlight w:val="none"/>
        </w:rPr>
        <w:t>超标，</w:t>
      </w:r>
      <w:r>
        <w:rPr>
          <w:rFonts w:hint="eastAsia" w:ascii="Times New Roman" w:hAnsi="Times New Roman" w:eastAsia="仿宋" w:cs="Times New Roman"/>
          <w:sz w:val="24"/>
          <w:szCs w:val="24"/>
          <w:highlight w:val="none"/>
          <w:lang w:eastAsia="zh-CN"/>
        </w:rPr>
        <w:t>大流量</w:t>
      </w:r>
      <w:r>
        <w:rPr>
          <w:rFonts w:hint="eastAsia" w:ascii="Times New Roman" w:hAnsi="Times New Roman" w:eastAsia="仿宋" w:cs="Times New Roman"/>
          <w:sz w:val="24"/>
          <w:szCs w:val="24"/>
          <w:highlight w:val="none"/>
        </w:rPr>
        <w:t>不超标占</w:t>
      </w:r>
      <w:r>
        <w:rPr>
          <w:rFonts w:hint="eastAsia" w:ascii="Times New Roman" w:hAnsi="Times New Roman" w:eastAsia="仿宋" w:cs="Times New Roman"/>
          <w:sz w:val="24"/>
          <w:szCs w:val="24"/>
          <w:highlight w:val="none"/>
          <w:lang w:val="en-US" w:eastAsia="zh-CN"/>
        </w:rPr>
        <w:t>3.36%</w:t>
      </w:r>
      <w:r>
        <w:rPr>
          <w:rFonts w:hint="eastAsia" w:ascii="Times New Roman" w:hAnsi="Times New Roman" w:eastAsia="仿宋" w:cs="Times New Roman"/>
          <w:sz w:val="24"/>
          <w:szCs w:val="24"/>
          <w:highlight w:val="none"/>
        </w:rPr>
        <w:t>（</w:t>
      </w:r>
      <w:r>
        <w:rPr>
          <w:rFonts w:hint="eastAsia" w:ascii="Times New Roman" w:hAnsi="Times New Roman" w:eastAsia="仿宋" w:cs="Times New Roman"/>
          <w:sz w:val="24"/>
          <w:szCs w:val="24"/>
          <w:highlight w:val="none"/>
          <w:lang w:val="en-US" w:eastAsia="zh-CN"/>
        </w:rPr>
        <w:t>4</w:t>
      </w:r>
      <w:r>
        <w:rPr>
          <w:rFonts w:ascii="Times New Roman" w:hAnsi="Times New Roman" w:eastAsia="仿宋" w:cs="Times New Roman"/>
          <w:sz w:val="24"/>
          <w:szCs w:val="24"/>
          <w:highlight w:val="none"/>
        </w:rPr>
        <w:t>/11</w:t>
      </w:r>
      <w:r>
        <w:rPr>
          <w:rFonts w:hint="eastAsia" w:ascii="Times New Roman" w:hAnsi="Times New Roman" w:eastAsia="仿宋" w:cs="Times New Roman"/>
          <w:sz w:val="24"/>
          <w:szCs w:val="24"/>
          <w:highlight w:val="none"/>
          <w:lang w:val="en-US" w:eastAsia="zh-CN"/>
        </w:rPr>
        <w:t>9</w:t>
      </w:r>
      <w:r>
        <w:rPr>
          <w:rFonts w:hint="eastAsia" w:ascii="Times New Roman" w:hAnsi="Times New Roman" w:eastAsia="仿宋" w:cs="Times New Roman"/>
          <w:sz w:val="24"/>
          <w:szCs w:val="24"/>
          <w:highlight w:val="none"/>
        </w:rPr>
        <w:t>）；</w:t>
      </w:r>
      <w:r>
        <w:rPr>
          <w:rFonts w:hint="eastAsia" w:ascii="Times New Roman" w:hAnsi="Times New Roman" w:eastAsia="仿宋" w:cs="Times New Roman"/>
          <w:sz w:val="24"/>
          <w:szCs w:val="24"/>
          <w:highlight w:val="none"/>
          <w:lang w:val="en-US" w:eastAsia="zh-CN"/>
        </w:rPr>
        <w:t>在</w:t>
      </w:r>
      <w:r>
        <w:rPr>
          <w:rFonts w:hint="eastAsia" w:ascii="Times New Roman" w:hAnsi="Times New Roman" w:eastAsia="仿宋" w:cs="Times New Roman"/>
          <w:b/>
          <w:bCs/>
          <w:sz w:val="24"/>
          <w:szCs w:val="24"/>
          <w:highlight w:val="none"/>
          <w:lang w:val="en-US" w:eastAsia="zh-CN"/>
        </w:rPr>
        <w:t>冬季</w:t>
      </w:r>
      <w:r>
        <w:rPr>
          <w:rFonts w:hint="eastAsia" w:ascii="Times New Roman" w:hAnsi="Times New Roman" w:eastAsia="仿宋" w:cs="Times New Roman"/>
          <w:sz w:val="24"/>
          <w:szCs w:val="24"/>
          <w:highlight w:val="none"/>
          <w:lang w:eastAsia="zh-CN"/>
        </w:rPr>
        <w:t>大流量</w:t>
      </w:r>
      <w:r>
        <w:rPr>
          <w:rFonts w:hint="eastAsia" w:ascii="Times New Roman" w:hAnsi="Times New Roman" w:eastAsia="仿宋" w:cs="Times New Roman"/>
          <w:sz w:val="24"/>
          <w:szCs w:val="24"/>
          <w:highlight w:val="none"/>
          <w:lang w:val="en-US" w:eastAsia="zh-CN"/>
        </w:rPr>
        <w:t>与</w:t>
      </w:r>
      <w:r>
        <w:rPr>
          <w:rFonts w:hint="eastAsia" w:ascii="Times New Roman" w:hAnsi="Times New Roman" w:eastAsia="仿宋" w:cs="Times New Roman"/>
          <w:sz w:val="24"/>
          <w:szCs w:val="24"/>
          <w:highlight w:val="none"/>
          <w:lang w:eastAsia="zh-CN"/>
        </w:rPr>
        <w:t>LS</w:t>
      </w:r>
      <w:r>
        <w:rPr>
          <w:rFonts w:hint="eastAsia" w:ascii="Times New Roman" w:hAnsi="Times New Roman" w:eastAsia="仿宋" w:cs="Times New Roman"/>
          <w:sz w:val="24"/>
          <w:szCs w:val="24"/>
          <w:highlight w:val="none"/>
        </w:rPr>
        <w:t>结果全部不超标</w:t>
      </w:r>
      <w:r>
        <w:rPr>
          <w:rFonts w:hint="eastAsia" w:ascii="Times New Roman" w:hAnsi="Times New Roman" w:eastAsia="仿宋" w:cs="Times New Roman"/>
          <w:sz w:val="24"/>
          <w:szCs w:val="24"/>
          <w:highlight w:val="none"/>
          <w:lang w:eastAsia="zh-CN"/>
        </w:rPr>
        <w:t>。</w:t>
      </w:r>
    </w:p>
    <w:p w14:paraId="4105FF39">
      <w:pPr>
        <w:spacing w:line="240" w:lineRule="auto"/>
        <w:ind w:firstLine="480" w:firstLineChars="200"/>
        <w:rPr>
          <w:rFonts w:ascii="Times New Roman" w:hAnsi="Times New Roman" w:eastAsia="仿宋" w:cs="Times New Roman"/>
          <w:sz w:val="24"/>
          <w:szCs w:val="24"/>
          <w:highlight w:val="none"/>
        </w:rPr>
      </w:pPr>
      <w:r>
        <w:rPr>
          <w:rFonts w:hint="eastAsia" w:ascii="Times New Roman" w:hAnsi="Times New Roman" w:eastAsia="仿宋" w:cs="Times New Roman"/>
          <w:sz w:val="24"/>
          <w:szCs w:val="24"/>
          <w:highlight w:val="none"/>
        </w:rPr>
        <w:t>真菌总数：</w:t>
      </w:r>
      <w:r>
        <w:rPr>
          <w:rFonts w:hint="eastAsia" w:ascii="Times New Roman" w:hAnsi="Times New Roman" w:eastAsia="仿宋" w:cs="Times New Roman"/>
          <w:sz w:val="24"/>
          <w:szCs w:val="24"/>
          <w:highlight w:val="none"/>
          <w:lang w:val="en-US" w:eastAsia="zh-CN"/>
        </w:rPr>
        <w:t>在夏季</w:t>
      </w:r>
      <w:r>
        <w:rPr>
          <w:rFonts w:hint="eastAsia" w:ascii="Times New Roman" w:hAnsi="Times New Roman" w:eastAsia="仿宋" w:cs="Times New Roman"/>
          <w:sz w:val="24"/>
          <w:szCs w:val="24"/>
          <w:highlight w:val="none"/>
          <w:lang w:eastAsia="zh-CN"/>
        </w:rPr>
        <w:t>大流量</w:t>
      </w:r>
      <w:r>
        <w:rPr>
          <w:rFonts w:hint="eastAsia" w:ascii="Times New Roman" w:hAnsi="Times New Roman" w:eastAsia="仿宋" w:cs="Times New Roman"/>
          <w:sz w:val="24"/>
          <w:szCs w:val="24"/>
          <w:highlight w:val="none"/>
        </w:rPr>
        <w:t>超标</w:t>
      </w:r>
      <w:r>
        <w:rPr>
          <w:rFonts w:hint="eastAsia" w:ascii="Times New Roman" w:hAnsi="Times New Roman" w:eastAsia="仿宋" w:cs="Times New Roman"/>
          <w:sz w:val="24"/>
          <w:szCs w:val="24"/>
          <w:highlight w:val="none"/>
          <w:lang w:val="en-US" w:eastAsia="zh-CN"/>
        </w:rPr>
        <w:t>率为0.83</w:t>
      </w:r>
      <w:r>
        <w:rPr>
          <w:rFonts w:hint="eastAsia" w:ascii="Times New Roman" w:hAnsi="Times New Roman" w:eastAsia="仿宋" w:cs="Times New Roman"/>
          <w:sz w:val="24"/>
          <w:szCs w:val="24"/>
          <w:highlight w:val="none"/>
        </w:rPr>
        <w:t>；</w:t>
      </w:r>
      <w:r>
        <w:rPr>
          <w:rFonts w:hint="eastAsia" w:ascii="Times New Roman" w:hAnsi="Times New Roman" w:eastAsia="仿宋" w:cs="Times New Roman"/>
          <w:sz w:val="24"/>
          <w:szCs w:val="24"/>
          <w:highlight w:val="none"/>
          <w:lang w:eastAsia="zh-CN"/>
        </w:rPr>
        <w:t>LS</w:t>
      </w:r>
      <w:r>
        <w:rPr>
          <w:rFonts w:hint="eastAsia" w:ascii="Times New Roman" w:hAnsi="Times New Roman" w:eastAsia="仿宋" w:cs="Times New Roman"/>
          <w:sz w:val="24"/>
          <w:szCs w:val="24"/>
          <w:highlight w:val="none"/>
        </w:rPr>
        <w:t>超标</w:t>
      </w:r>
      <w:r>
        <w:rPr>
          <w:rFonts w:hint="eastAsia" w:ascii="Times New Roman" w:hAnsi="Times New Roman" w:eastAsia="仿宋" w:cs="Times New Roman"/>
          <w:sz w:val="24"/>
          <w:szCs w:val="24"/>
          <w:highlight w:val="none"/>
          <w:lang w:val="en-US" w:eastAsia="zh-CN"/>
        </w:rPr>
        <w:t>率为35.00%</w:t>
      </w:r>
      <w:r>
        <w:rPr>
          <w:rFonts w:hint="eastAsia" w:ascii="Times New Roman" w:hAnsi="Times New Roman" w:eastAsia="仿宋" w:cs="Times New Roman"/>
          <w:sz w:val="24"/>
          <w:szCs w:val="24"/>
          <w:highlight w:val="none"/>
        </w:rPr>
        <w:t>，</w:t>
      </w:r>
      <w:r>
        <w:rPr>
          <w:rFonts w:hint="eastAsia" w:ascii="Times New Roman" w:hAnsi="Times New Roman" w:eastAsia="仿宋" w:cs="Times New Roman"/>
          <w:sz w:val="24"/>
          <w:szCs w:val="24"/>
          <w:highlight w:val="none"/>
          <w:lang w:eastAsia="zh-CN"/>
        </w:rPr>
        <w:t>LS</w:t>
      </w:r>
      <w:r>
        <w:rPr>
          <w:rFonts w:hint="eastAsia" w:ascii="Times New Roman" w:hAnsi="Times New Roman" w:eastAsia="仿宋" w:cs="Times New Roman"/>
          <w:sz w:val="24"/>
          <w:szCs w:val="24"/>
          <w:highlight w:val="none"/>
        </w:rPr>
        <w:t>超标，</w:t>
      </w:r>
      <w:r>
        <w:rPr>
          <w:rFonts w:hint="eastAsia" w:ascii="Times New Roman" w:hAnsi="Times New Roman" w:eastAsia="仿宋" w:cs="Times New Roman"/>
          <w:sz w:val="24"/>
          <w:szCs w:val="24"/>
          <w:highlight w:val="none"/>
          <w:lang w:eastAsia="zh-CN"/>
        </w:rPr>
        <w:t>大流量</w:t>
      </w:r>
      <w:r>
        <w:rPr>
          <w:rFonts w:hint="eastAsia" w:ascii="Times New Roman" w:hAnsi="Times New Roman" w:eastAsia="仿宋" w:cs="Times New Roman"/>
          <w:sz w:val="24"/>
          <w:szCs w:val="24"/>
          <w:highlight w:val="none"/>
        </w:rPr>
        <w:t>不超标占</w:t>
      </w:r>
      <w:r>
        <w:rPr>
          <w:rFonts w:hint="eastAsia" w:ascii="Times New Roman" w:hAnsi="Times New Roman" w:eastAsia="仿宋" w:cs="Times New Roman"/>
          <w:sz w:val="24"/>
          <w:szCs w:val="24"/>
          <w:highlight w:val="none"/>
          <w:lang w:val="en-US" w:eastAsia="zh-CN"/>
        </w:rPr>
        <w:t>34.17%</w:t>
      </w:r>
      <w:r>
        <w:rPr>
          <w:rFonts w:hint="eastAsia" w:ascii="Times New Roman" w:hAnsi="Times New Roman" w:eastAsia="仿宋" w:cs="Times New Roman"/>
          <w:sz w:val="24"/>
          <w:szCs w:val="24"/>
          <w:highlight w:val="none"/>
        </w:rPr>
        <w:t>（</w:t>
      </w:r>
      <w:r>
        <w:rPr>
          <w:rFonts w:hint="eastAsia" w:ascii="Times New Roman" w:hAnsi="Times New Roman" w:eastAsia="仿宋" w:cs="Times New Roman"/>
          <w:sz w:val="24"/>
          <w:szCs w:val="24"/>
          <w:highlight w:val="none"/>
          <w:lang w:val="en-US" w:eastAsia="zh-CN"/>
        </w:rPr>
        <w:t>41</w:t>
      </w:r>
      <w:r>
        <w:rPr>
          <w:rFonts w:ascii="Times New Roman" w:hAnsi="Times New Roman" w:eastAsia="仿宋" w:cs="Times New Roman"/>
          <w:sz w:val="24"/>
          <w:szCs w:val="24"/>
          <w:highlight w:val="none"/>
        </w:rPr>
        <w:t>/1</w:t>
      </w:r>
      <w:r>
        <w:rPr>
          <w:rFonts w:hint="eastAsia" w:ascii="Times New Roman" w:hAnsi="Times New Roman" w:eastAsia="仿宋" w:cs="Times New Roman"/>
          <w:sz w:val="24"/>
          <w:szCs w:val="24"/>
          <w:highlight w:val="none"/>
          <w:lang w:val="en-US" w:eastAsia="zh-CN"/>
        </w:rPr>
        <w:t>20</w:t>
      </w:r>
      <w:r>
        <w:rPr>
          <w:rFonts w:hint="eastAsia" w:ascii="Times New Roman" w:hAnsi="Times New Roman" w:eastAsia="仿宋" w:cs="Times New Roman"/>
          <w:sz w:val="24"/>
          <w:szCs w:val="24"/>
          <w:highlight w:val="none"/>
        </w:rPr>
        <w:t>）；</w:t>
      </w:r>
      <w:r>
        <w:rPr>
          <w:rFonts w:hint="eastAsia" w:ascii="Times New Roman" w:hAnsi="Times New Roman" w:eastAsia="仿宋" w:cs="Times New Roman"/>
          <w:sz w:val="24"/>
          <w:szCs w:val="24"/>
          <w:highlight w:val="none"/>
          <w:lang w:val="en-US" w:eastAsia="zh-CN"/>
        </w:rPr>
        <w:t>在</w:t>
      </w:r>
      <w:r>
        <w:rPr>
          <w:rFonts w:hint="eastAsia" w:ascii="Times New Roman" w:hAnsi="Times New Roman" w:eastAsia="仿宋" w:cs="Times New Roman"/>
          <w:b/>
          <w:bCs/>
          <w:sz w:val="24"/>
          <w:szCs w:val="24"/>
          <w:highlight w:val="none"/>
          <w:lang w:val="en-US" w:eastAsia="zh-CN"/>
        </w:rPr>
        <w:t>冬季</w:t>
      </w:r>
      <w:r>
        <w:rPr>
          <w:rFonts w:hint="eastAsia" w:ascii="Times New Roman" w:hAnsi="Times New Roman" w:eastAsia="仿宋" w:cs="Times New Roman"/>
          <w:sz w:val="24"/>
          <w:szCs w:val="24"/>
          <w:highlight w:val="none"/>
          <w:lang w:eastAsia="zh-CN"/>
        </w:rPr>
        <w:t>大流量</w:t>
      </w:r>
      <w:r>
        <w:rPr>
          <w:rFonts w:hint="eastAsia" w:ascii="Times New Roman" w:hAnsi="Times New Roman" w:eastAsia="仿宋" w:cs="Times New Roman"/>
          <w:sz w:val="24"/>
          <w:szCs w:val="24"/>
          <w:highlight w:val="none"/>
          <w:lang w:val="en-US" w:eastAsia="zh-CN"/>
        </w:rPr>
        <w:t>均不超标，</w:t>
      </w:r>
      <w:r>
        <w:rPr>
          <w:rFonts w:hint="eastAsia" w:ascii="Times New Roman" w:hAnsi="Times New Roman" w:eastAsia="仿宋" w:cs="Times New Roman"/>
          <w:sz w:val="24"/>
          <w:szCs w:val="24"/>
          <w:highlight w:val="none"/>
          <w:lang w:eastAsia="zh-CN"/>
        </w:rPr>
        <w:t>LS</w:t>
      </w:r>
      <w:r>
        <w:rPr>
          <w:rFonts w:hint="eastAsia" w:ascii="Times New Roman" w:hAnsi="Times New Roman" w:eastAsia="仿宋" w:cs="Times New Roman"/>
          <w:sz w:val="24"/>
          <w:szCs w:val="24"/>
          <w:highlight w:val="none"/>
        </w:rPr>
        <w:t>超标，</w:t>
      </w:r>
      <w:r>
        <w:rPr>
          <w:rFonts w:hint="eastAsia" w:ascii="Times New Roman" w:hAnsi="Times New Roman" w:eastAsia="仿宋" w:cs="Times New Roman"/>
          <w:sz w:val="24"/>
          <w:szCs w:val="24"/>
          <w:highlight w:val="none"/>
          <w:lang w:eastAsia="zh-CN"/>
        </w:rPr>
        <w:t>大流量</w:t>
      </w:r>
      <w:r>
        <w:rPr>
          <w:rFonts w:hint="eastAsia" w:ascii="Times New Roman" w:hAnsi="Times New Roman" w:eastAsia="仿宋" w:cs="Times New Roman"/>
          <w:sz w:val="24"/>
          <w:szCs w:val="24"/>
          <w:highlight w:val="none"/>
        </w:rPr>
        <w:t>不超标占</w:t>
      </w:r>
      <w:r>
        <w:rPr>
          <w:rFonts w:hint="eastAsia" w:ascii="Times New Roman" w:hAnsi="Times New Roman" w:eastAsia="仿宋" w:cs="Times New Roman"/>
          <w:sz w:val="24"/>
          <w:szCs w:val="24"/>
          <w:highlight w:val="none"/>
          <w:lang w:val="en-US" w:eastAsia="zh-CN"/>
        </w:rPr>
        <w:t>24.24%</w:t>
      </w:r>
      <w:r>
        <w:rPr>
          <w:rFonts w:hint="eastAsia" w:ascii="Times New Roman" w:hAnsi="Times New Roman" w:eastAsia="仿宋" w:cs="Times New Roman"/>
          <w:sz w:val="24"/>
          <w:szCs w:val="24"/>
          <w:highlight w:val="none"/>
        </w:rPr>
        <w:t>（</w:t>
      </w:r>
      <w:r>
        <w:rPr>
          <w:rFonts w:hint="eastAsia" w:ascii="Times New Roman" w:hAnsi="Times New Roman" w:eastAsia="仿宋" w:cs="Times New Roman"/>
          <w:sz w:val="24"/>
          <w:szCs w:val="24"/>
          <w:highlight w:val="none"/>
          <w:lang w:val="en-US" w:eastAsia="zh-CN"/>
        </w:rPr>
        <w:t>32</w:t>
      </w:r>
      <w:r>
        <w:rPr>
          <w:rFonts w:ascii="Times New Roman" w:hAnsi="Times New Roman" w:eastAsia="仿宋" w:cs="Times New Roman"/>
          <w:sz w:val="24"/>
          <w:szCs w:val="24"/>
          <w:highlight w:val="none"/>
        </w:rPr>
        <w:t>/1</w:t>
      </w:r>
      <w:r>
        <w:rPr>
          <w:rFonts w:hint="eastAsia" w:ascii="Times New Roman" w:hAnsi="Times New Roman" w:eastAsia="仿宋" w:cs="Times New Roman"/>
          <w:sz w:val="24"/>
          <w:szCs w:val="24"/>
          <w:highlight w:val="none"/>
          <w:lang w:val="en-US" w:eastAsia="zh-CN"/>
        </w:rPr>
        <w:t>32</w:t>
      </w:r>
      <w:r>
        <w:rPr>
          <w:rFonts w:hint="eastAsia" w:ascii="Times New Roman" w:hAnsi="Times New Roman" w:eastAsia="仿宋" w:cs="Times New Roman"/>
          <w:sz w:val="24"/>
          <w:szCs w:val="24"/>
          <w:highlight w:val="none"/>
        </w:rPr>
        <w:t>）</w:t>
      </w:r>
      <w:r>
        <w:rPr>
          <w:rFonts w:hint="eastAsia" w:ascii="Times New Roman" w:hAnsi="Times New Roman" w:eastAsia="仿宋" w:cs="Times New Roman"/>
          <w:sz w:val="24"/>
          <w:szCs w:val="24"/>
          <w:highlight w:val="none"/>
          <w:lang w:eastAsia="zh-CN"/>
        </w:rPr>
        <w:t>。</w:t>
      </w:r>
    </w:p>
    <w:p w14:paraId="12952F53">
      <w:pPr>
        <w:pStyle w:val="46"/>
        <w:numPr>
          <w:ilvl w:val="0"/>
          <w:numId w:val="6"/>
        </w:numPr>
        <w:spacing w:line="240" w:lineRule="auto"/>
        <w:ind w:firstLineChars="0"/>
        <w:rPr>
          <w:rFonts w:hint="eastAsia"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对于整体样品，分析发现：</w:t>
      </w:r>
    </w:p>
    <w:p w14:paraId="00454385">
      <w:pPr>
        <w:spacing w:line="240" w:lineRule="auto"/>
        <w:ind w:firstLine="480" w:firstLineChars="200"/>
        <w:rPr>
          <w:rFonts w:hint="eastAsia" w:ascii="Times New Roman" w:hAnsi="Times New Roman" w:eastAsia="仿宋" w:cs="Times New Roman"/>
          <w:sz w:val="24"/>
          <w:szCs w:val="24"/>
          <w:lang w:val="en-US" w:eastAsia="zh-CN"/>
        </w:rPr>
      </w:pPr>
      <w:r>
        <w:rPr>
          <w:rFonts w:hint="eastAsia" w:ascii="Times New Roman" w:hAnsi="Times New Roman" w:eastAsia="仿宋" w:cs="Times New Roman"/>
          <w:sz w:val="24"/>
          <w:szCs w:val="24"/>
        </w:rPr>
        <w:t>细菌总数：</w:t>
      </w:r>
      <w:r>
        <w:rPr>
          <w:rFonts w:hint="eastAsia" w:ascii="Times New Roman" w:hAnsi="Times New Roman" w:eastAsia="仿宋" w:cs="Times New Roman"/>
          <w:sz w:val="24"/>
          <w:szCs w:val="24"/>
          <w:lang w:val="en-US" w:eastAsia="zh-CN"/>
        </w:rPr>
        <w:t>在</w:t>
      </w:r>
      <w:r>
        <w:rPr>
          <w:rFonts w:hint="eastAsia" w:ascii="Times New Roman" w:hAnsi="Times New Roman" w:eastAsia="仿宋" w:cs="Times New Roman"/>
          <w:b/>
          <w:bCs/>
          <w:sz w:val="24"/>
          <w:szCs w:val="24"/>
          <w:lang w:val="en-US" w:eastAsia="zh-CN"/>
        </w:rPr>
        <w:t>夏季</w:t>
      </w:r>
      <w:r>
        <w:rPr>
          <w:rFonts w:hint="eastAsia" w:ascii="Times New Roman" w:hAnsi="Times New Roman" w:eastAsia="仿宋" w:cs="Times New Roman"/>
          <w:b w:val="0"/>
          <w:bCs w:val="0"/>
          <w:sz w:val="24"/>
          <w:szCs w:val="24"/>
          <w:lang w:val="en-US" w:eastAsia="zh-CN"/>
        </w:rPr>
        <w:t>三种设备</w:t>
      </w:r>
      <w:r>
        <w:rPr>
          <w:rFonts w:hint="eastAsia" w:ascii="Times New Roman" w:hAnsi="Times New Roman" w:eastAsia="仿宋" w:cs="Times New Roman"/>
          <w:sz w:val="24"/>
          <w:szCs w:val="24"/>
        </w:rPr>
        <w:t>超标率</w:t>
      </w:r>
      <w:r>
        <w:rPr>
          <w:rFonts w:hint="eastAsia" w:ascii="Times New Roman" w:hAnsi="Times New Roman" w:eastAsia="仿宋" w:cs="Times New Roman"/>
          <w:sz w:val="24"/>
          <w:szCs w:val="24"/>
          <w:lang w:val="en-US" w:eastAsia="zh-CN"/>
        </w:rPr>
        <w:t>分别为</w:t>
      </w:r>
      <w:r>
        <w:rPr>
          <w:rFonts w:ascii="Times New Roman" w:hAnsi="Times New Roman" w:eastAsia="仿宋" w:cs="Times New Roman"/>
          <w:sz w:val="24"/>
          <w:szCs w:val="24"/>
        </w:rPr>
        <w:t>0.00</w:t>
      </w:r>
      <w:r>
        <w:rPr>
          <w:rFonts w:hint="eastAsia" w:ascii="Times New Roman" w:hAnsi="Times New Roman" w:eastAsia="仿宋" w:cs="Times New Roman"/>
          <w:sz w:val="24"/>
          <w:szCs w:val="24"/>
        </w:rPr>
        <w:t>%</w:t>
      </w:r>
      <w:r>
        <w:rPr>
          <w:rFonts w:hint="eastAsia" w:ascii="Times New Roman" w:hAnsi="Times New Roman" w:eastAsia="仿宋" w:cs="Times New Roman"/>
          <w:sz w:val="24"/>
          <w:szCs w:val="24"/>
          <w:lang w:eastAsia="zh-CN"/>
        </w:rPr>
        <w:t>、</w:t>
      </w:r>
      <w:r>
        <w:rPr>
          <w:rFonts w:hint="eastAsia" w:ascii="Times New Roman" w:hAnsi="Times New Roman" w:eastAsia="仿宋" w:cs="Times New Roman"/>
          <w:sz w:val="24"/>
          <w:szCs w:val="24"/>
          <w:lang w:val="en-US" w:eastAsia="zh-CN"/>
        </w:rPr>
        <w:t>3.36</w:t>
      </w:r>
      <w:r>
        <w:rPr>
          <w:rFonts w:hint="eastAsia" w:ascii="Times New Roman" w:hAnsi="Times New Roman" w:eastAsia="仿宋" w:cs="Times New Roman"/>
          <w:sz w:val="24"/>
          <w:szCs w:val="24"/>
        </w:rPr>
        <w:t>%和</w:t>
      </w:r>
      <w:r>
        <w:rPr>
          <w:rFonts w:ascii="Times New Roman" w:hAnsi="Times New Roman" w:eastAsia="仿宋" w:cs="Times New Roman"/>
          <w:sz w:val="24"/>
          <w:szCs w:val="24"/>
        </w:rPr>
        <w:t>3</w:t>
      </w:r>
      <w:r>
        <w:rPr>
          <w:rFonts w:hint="eastAsia" w:ascii="Times New Roman" w:hAnsi="Times New Roman" w:eastAsia="仿宋" w:cs="Times New Roman"/>
          <w:sz w:val="24"/>
          <w:szCs w:val="24"/>
        </w:rPr>
        <w:t>0</w:t>
      </w:r>
      <w:r>
        <w:rPr>
          <w:rFonts w:ascii="Times New Roman" w:hAnsi="Times New Roman" w:eastAsia="仿宋" w:cs="Times New Roman"/>
          <w:sz w:val="24"/>
          <w:szCs w:val="24"/>
        </w:rPr>
        <w:t>.00</w:t>
      </w:r>
      <w:r>
        <w:rPr>
          <w:rFonts w:hint="eastAsia" w:ascii="Times New Roman" w:hAnsi="Times New Roman" w:eastAsia="仿宋" w:cs="Times New Roman"/>
          <w:sz w:val="24"/>
          <w:szCs w:val="24"/>
        </w:rPr>
        <w:t>%</w:t>
      </w:r>
      <w:r>
        <w:rPr>
          <w:rFonts w:hint="eastAsia" w:ascii="Times New Roman" w:hAnsi="Times New Roman" w:eastAsia="仿宋" w:cs="Times New Roman"/>
          <w:sz w:val="24"/>
          <w:szCs w:val="24"/>
          <w:lang w:eastAsia="zh-CN"/>
        </w:rPr>
        <w:t>，</w:t>
      </w:r>
      <w:r>
        <w:rPr>
          <w:rFonts w:hint="eastAsia" w:ascii="Times New Roman" w:hAnsi="Times New Roman" w:eastAsia="仿宋" w:cs="Times New Roman"/>
          <w:sz w:val="24"/>
          <w:szCs w:val="24"/>
          <w:lang w:val="en-US" w:eastAsia="zh-CN"/>
        </w:rPr>
        <w:t>在</w:t>
      </w:r>
      <w:r>
        <w:rPr>
          <w:rFonts w:hint="eastAsia" w:ascii="Times New Roman" w:hAnsi="Times New Roman" w:eastAsia="仿宋" w:cs="Times New Roman"/>
          <w:b/>
          <w:bCs/>
          <w:sz w:val="24"/>
          <w:szCs w:val="24"/>
          <w:lang w:val="en-US" w:eastAsia="zh-CN"/>
        </w:rPr>
        <w:t>冬季</w:t>
      </w:r>
      <w:r>
        <w:rPr>
          <w:rFonts w:hint="eastAsia" w:ascii="Times New Roman" w:hAnsi="Times New Roman" w:eastAsia="仿宋" w:cs="Times New Roman"/>
          <w:b w:val="0"/>
          <w:bCs w:val="0"/>
          <w:sz w:val="24"/>
          <w:szCs w:val="24"/>
          <w:lang w:val="en-US" w:eastAsia="zh-CN"/>
        </w:rPr>
        <w:t>两种设备</w:t>
      </w:r>
      <w:r>
        <w:rPr>
          <w:rFonts w:hint="eastAsia" w:ascii="Times New Roman" w:hAnsi="Times New Roman" w:eastAsia="仿宋" w:cs="Times New Roman"/>
          <w:sz w:val="24"/>
          <w:szCs w:val="24"/>
        </w:rPr>
        <w:t>超标率</w:t>
      </w:r>
      <w:r>
        <w:rPr>
          <w:rFonts w:hint="eastAsia" w:ascii="Times New Roman" w:hAnsi="Times New Roman" w:eastAsia="仿宋" w:cs="Times New Roman"/>
          <w:sz w:val="24"/>
          <w:szCs w:val="24"/>
          <w:lang w:val="en-US" w:eastAsia="zh-CN"/>
        </w:rPr>
        <w:t>分别为</w:t>
      </w:r>
      <w:r>
        <w:rPr>
          <w:rFonts w:ascii="Times New Roman" w:hAnsi="Times New Roman" w:eastAsia="仿宋" w:cs="Times New Roman"/>
          <w:sz w:val="24"/>
          <w:szCs w:val="24"/>
        </w:rPr>
        <w:t>0.00</w:t>
      </w:r>
      <w:r>
        <w:rPr>
          <w:rFonts w:hint="eastAsia" w:ascii="Times New Roman" w:hAnsi="Times New Roman" w:eastAsia="仿宋" w:cs="Times New Roman"/>
          <w:sz w:val="24"/>
          <w:szCs w:val="24"/>
        </w:rPr>
        <w:t>%</w:t>
      </w:r>
      <w:r>
        <w:rPr>
          <w:rFonts w:hint="eastAsia" w:ascii="Times New Roman" w:hAnsi="Times New Roman" w:eastAsia="仿宋" w:cs="Times New Roman"/>
          <w:sz w:val="24"/>
          <w:szCs w:val="24"/>
          <w:lang w:eastAsia="zh-CN"/>
        </w:rPr>
        <w:t>、</w:t>
      </w:r>
      <w:r>
        <w:rPr>
          <w:rFonts w:hint="eastAsia" w:ascii="Times New Roman" w:hAnsi="Times New Roman" w:eastAsia="仿宋" w:cs="Times New Roman"/>
          <w:sz w:val="24"/>
          <w:szCs w:val="24"/>
          <w:lang w:val="en-US" w:eastAsia="zh-CN"/>
        </w:rPr>
        <w:t>2.27</w:t>
      </w:r>
      <w:r>
        <w:rPr>
          <w:rFonts w:hint="eastAsia" w:ascii="Times New Roman" w:hAnsi="Times New Roman" w:eastAsia="仿宋" w:cs="Times New Roman"/>
          <w:sz w:val="24"/>
          <w:szCs w:val="24"/>
        </w:rPr>
        <w:t>%</w:t>
      </w:r>
      <w:r>
        <w:rPr>
          <w:rFonts w:hint="eastAsia" w:ascii="Times New Roman" w:hAnsi="Times New Roman" w:eastAsia="仿宋" w:cs="Times New Roman"/>
          <w:sz w:val="24"/>
          <w:szCs w:val="24"/>
          <w:lang w:eastAsia="zh-CN"/>
        </w:rPr>
        <w:t>。</w:t>
      </w:r>
    </w:p>
    <w:p w14:paraId="6FB8414A">
      <w:pPr>
        <w:spacing w:line="240" w:lineRule="auto"/>
        <w:ind w:firstLine="480" w:firstLineChars="200"/>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rPr>
        <w:t>真菌总数：</w:t>
      </w:r>
      <w:r>
        <w:rPr>
          <w:rFonts w:hint="eastAsia" w:ascii="Times New Roman" w:hAnsi="Times New Roman" w:eastAsia="仿宋" w:cs="Times New Roman"/>
          <w:sz w:val="24"/>
          <w:szCs w:val="24"/>
          <w:lang w:val="en-US" w:eastAsia="zh-CN"/>
        </w:rPr>
        <w:t>在</w:t>
      </w:r>
      <w:r>
        <w:rPr>
          <w:rFonts w:hint="eastAsia" w:ascii="Times New Roman" w:hAnsi="Times New Roman" w:eastAsia="仿宋" w:cs="Times New Roman"/>
          <w:b/>
          <w:bCs/>
          <w:sz w:val="24"/>
          <w:szCs w:val="24"/>
          <w:lang w:val="en-US" w:eastAsia="zh-CN"/>
        </w:rPr>
        <w:t>夏季</w:t>
      </w:r>
      <w:r>
        <w:rPr>
          <w:rFonts w:hint="eastAsia" w:ascii="Times New Roman" w:hAnsi="Times New Roman" w:eastAsia="仿宋" w:cs="Times New Roman"/>
          <w:b w:val="0"/>
          <w:bCs w:val="0"/>
          <w:sz w:val="24"/>
          <w:szCs w:val="24"/>
          <w:lang w:val="en-US" w:eastAsia="zh-CN"/>
        </w:rPr>
        <w:t>三种设备</w:t>
      </w:r>
      <w:r>
        <w:rPr>
          <w:rFonts w:hint="eastAsia" w:ascii="Times New Roman" w:hAnsi="Times New Roman" w:eastAsia="仿宋" w:cs="Times New Roman"/>
          <w:sz w:val="24"/>
          <w:szCs w:val="24"/>
        </w:rPr>
        <w:t>超标率</w:t>
      </w:r>
      <w:r>
        <w:rPr>
          <w:rFonts w:hint="eastAsia" w:ascii="Times New Roman" w:hAnsi="Times New Roman" w:eastAsia="仿宋" w:cs="Times New Roman"/>
          <w:sz w:val="24"/>
          <w:szCs w:val="24"/>
          <w:lang w:val="en-US" w:eastAsia="zh-CN"/>
        </w:rPr>
        <w:t>分别为</w:t>
      </w:r>
      <w:r>
        <w:rPr>
          <w:rFonts w:ascii="Times New Roman" w:hAnsi="Times New Roman" w:eastAsia="仿宋" w:cs="Times New Roman"/>
          <w:sz w:val="24"/>
          <w:szCs w:val="24"/>
        </w:rPr>
        <w:t>0.</w:t>
      </w:r>
      <w:r>
        <w:rPr>
          <w:rFonts w:hint="eastAsia" w:ascii="Times New Roman" w:hAnsi="Times New Roman" w:eastAsia="仿宋" w:cs="Times New Roman"/>
          <w:sz w:val="24"/>
          <w:szCs w:val="24"/>
          <w:lang w:val="en-US" w:eastAsia="zh-CN"/>
        </w:rPr>
        <w:t>83</w:t>
      </w:r>
      <w:r>
        <w:rPr>
          <w:rFonts w:hint="eastAsia" w:ascii="Times New Roman" w:hAnsi="Times New Roman" w:eastAsia="仿宋" w:cs="Times New Roman"/>
          <w:sz w:val="24"/>
          <w:szCs w:val="24"/>
        </w:rPr>
        <w:t>%</w:t>
      </w:r>
      <w:r>
        <w:rPr>
          <w:rFonts w:hint="eastAsia" w:ascii="Times New Roman" w:hAnsi="Times New Roman" w:eastAsia="仿宋" w:cs="Times New Roman"/>
          <w:sz w:val="24"/>
          <w:szCs w:val="24"/>
          <w:lang w:eastAsia="zh-CN"/>
        </w:rPr>
        <w:t>、</w:t>
      </w:r>
      <w:r>
        <w:rPr>
          <w:rFonts w:hint="eastAsia" w:ascii="Times New Roman" w:hAnsi="Times New Roman" w:eastAsia="仿宋" w:cs="Times New Roman"/>
          <w:sz w:val="24"/>
          <w:szCs w:val="24"/>
          <w:lang w:val="en-US" w:eastAsia="zh-CN"/>
        </w:rPr>
        <w:t>3.36</w:t>
      </w:r>
      <w:r>
        <w:rPr>
          <w:rFonts w:hint="eastAsia" w:ascii="Times New Roman" w:hAnsi="Times New Roman" w:eastAsia="仿宋" w:cs="Times New Roman"/>
          <w:sz w:val="24"/>
          <w:szCs w:val="24"/>
        </w:rPr>
        <w:t>%和</w:t>
      </w:r>
      <w:r>
        <w:rPr>
          <w:rFonts w:ascii="Times New Roman" w:hAnsi="Times New Roman" w:eastAsia="仿宋" w:cs="Times New Roman"/>
          <w:sz w:val="24"/>
          <w:szCs w:val="24"/>
        </w:rPr>
        <w:t>3</w:t>
      </w:r>
      <w:r>
        <w:rPr>
          <w:rFonts w:hint="eastAsia" w:ascii="Times New Roman" w:hAnsi="Times New Roman" w:eastAsia="仿宋" w:cs="Times New Roman"/>
          <w:sz w:val="24"/>
          <w:szCs w:val="24"/>
        </w:rPr>
        <w:t>0</w:t>
      </w:r>
      <w:r>
        <w:rPr>
          <w:rFonts w:ascii="Times New Roman" w:hAnsi="Times New Roman" w:eastAsia="仿宋" w:cs="Times New Roman"/>
          <w:sz w:val="24"/>
          <w:szCs w:val="24"/>
        </w:rPr>
        <w:t>.00</w:t>
      </w:r>
      <w:r>
        <w:rPr>
          <w:rFonts w:hint="eastAsia" w:ascii="Times New Roman" w:hAnsi="Times New Roman" w:eastAsia="仿宋" w:cs="Times New Roman"/>
          <w:sz w:val="24"/>
          <w:szCs w:val="24"/>
        </w:rPr>
        <w:t>%</w:t>
      </w:r>
      <w:r>
        <w:rPr>
          <w:rFonts w:hint="eastAsia" w:ascii="Times New Roman" w:hAnsi="Times New Roman" w:eastAsia="仿宋" w:cs="Times New Roman"/>
          <w:sz w:val="24"/>
          <w:szCs w:val="24"/>
          <w:lang w:eastAsia="zh-CN"/>
        </w:rPr>
        <w:t>，</w:t>
      </w:r>
      <w:r>
        <w:rPr>
          <w:rFonts w:hint="eastAsia" w:ascii="Times New Roman" w:hAnsi="Times New Roman" w:eastAsia="仿宋" w:cs="Times New Roman"/>
          <w:sz w:val="24"/>
          <w:szCs w:val="24"/>
          <w:lang w:val="en-US" w:eastAsia="zh-CN"/>
        </w:rPr>
        <w:t>在</w:t>
      </w:r>
      <w:r>
        <w:rPr>
          <w:rFonts w:hint="eastAsia" w:ascii="Times New Roman" w:hAnsi="Times New Roman" w:eastAsia="仿宋" w:cs="Times New Roman"/>
          <w:b/>
          <w:bCs/>
          <w:sz w:val="24"/>
          <w:szCs w:val="24"/>
          <w:lang w:val="en-US" w:eastAsia="zh-CN"/>
        </w:rPr>
        <w:t>冬季三</w:t>
      </w:r>
      <w:r>
        <w:rPr>
          <w:rFonts w:hint="eastAsia" w:ascii="Times New Roman" w:hAnsi="Times New Roman" w:eastAsia="仿宋" w:cs="Times New Roman"/>
          <w:b w:val="0"/>
          <w:bCs w:val="0"/>
          <w:sz w:val="24"/>
          <w:szCs w:val="24"/>
          <w:lang w:val="en-US" w:eastAsia="zh-CN"/>
        </w:rPr>
        <w:t>种设备</w:t>
      </w:r>
      <w:r>
        <w:rPr>
          <w:rFonts w:hint="eastAsia" w:ascii="Times New Roman" w:hAnsi="Times New Roman" w:eastAsia="仿宋" w:cs="Times New Roman"/>
          <w:sz w:val="24"/>
          <w:szCs w:val="24"/>
        </w:rPr>
        <w:t>超标率</w:t>
      </w:r>
      <w:r>
        <w:rPr>
          <w:rFonts w:hint="eastAsia" w:ascii="Times New Roman" w:hAnsi="Times New Roman" w:eastAsia="仿宋" w:cs="Times New Roman"/>
          <w:sz w:val="24"/>
          <w:szCs w:val="24"/>
          <w:lang w:val="en-US" w:eastAsia="zh-CN"/>
        </w:rPr>
        <w:t>分别为</w:t>
      </w:r>
      <w:r>
        <w:rPr>
          <w:rFonts w:ascii="Times New Roman" w:hAnsi="Times New Roman" w:eastAsia="仿宋" w:cs="Times New Roman"/>
          <w:sz w:val="24"/>
          <w:szCs w:val="24"/>
        </w:rPr>
        <w:t>0.00</w:t>
      </w:r>
      <w:r>
        <w:rPr>
          <w:rFonts w:hint="eastAsia" w:ascii="Times New Roman" w:hAnsi="Times New Roman" w:eastAsia="仿宋" w:cs="Times New Roman"/>
          <w:sz w:val="24"/>
          <w:szCs w:val="24"/>
        </w:rPr>
        <w:t>%</w:t>
      </w:r>
      <w:r>
        <w:rPr>
          <w:rFonts w:hint="eastAsia" w:ascii="Times New Roman" w:hAnsi="Times New Roman" w:eastAsia="仿宋" w:cs="Times New Roman"/>
          <w:sz w:val="24"/>
          <w:szCs w:val="24"/>
          <w:lang w:eastAsia="zh-CN"/>
        </w:rPr>
        <w:t>、</w:t>
      </w:r>
      <w:r>
        <w:rPr>
          <w:rFonts w:hint="eastAsia" w:ascii="Times New Roman" w:hAnsi="Times New Roman" w:eastAsia="仿宋" w:cs="Times New Roman"/>
          <w:sz w:val="24"/>
          <w:szCs w:val="24"/>
          <w:lang w:val="en-US" w:eastAsia="zh-CN"/>
        </w:rPr>
        <w:t>24.24</w:t>
      </w:r>
      <w:r>
        <w:rPr>
          <w:rFonts w:hint="eastAsia" w:ascii="Times New Roman" w:hAnsi="Times New Roman" w:eastAsia="仿宋" w:cs="Times New Roman"/>
          <w:sz w:val="24"/>
          <w:szCs w:val="24"/>
        </w:rPr>
        <w:t>%和</w:t>
      </w:r>
      <w:r>
        <w:rPr>
          <w:rFonts w:ascii="Times New Roman" w:hAnsi="Times New Roman" w:eastAsia="仿宋" w:cs="Times New Roman"/>
          <w:sz w:val="24"/>
          <w:szCs w:val="24"/>
        </w:rPr>
        <w:t>3</w:t>
      </w:r>
      <w:r>
        <w:rPr>
          <w:rFonts w:hint="eastAsia" w:ascii="Times New Roman" w:hAnsi="Times New Roman" w:eastAsia="仿宋" w:cs="Times New Roman"/>
          <w:sz w:val="24"/>
          <w:szCs w:val="24"/>
          <w:lang w:val="en-US" w:eastAsia="zh-CN"/>
        </w:rPr>
        <w:t>1.82</w:t>
      </w:r>
      <w:r>
        <w:rPr>
          <w:rFonts w:hint="eastAsia" w:ascii="Times New Roman" w:hAnsi="Times New Roman" w:eastAsia="仿宋" w:cs="Times New Roman"/>
          <w:sz w:val="24"/>
          <w:szCs w:val="24"/>
        </w:rPr>
        <w:t>%</w:t>
      </w:r>
      <w:r>
        <w:rPr>
          <w:rFonts w:hint="eastAsia" w:ascii="Times New Roman" w:hAnsi="Times New Roman" w:eastAsia="仿宋" w:cs="Times New Roman"/>
          <w:sz w:val="24"/>
          <w:szCs w:val="24"/>
          <w:lang w:eastAsia="zh-CN"/>
        </w:rPr>
        <w:t>，</w:t>
      </w:r>
    </w:p>
    <w:p w14:paraId="4F787355">
      <w:pPr>
        <w:pStyle w:val="46"/>
        <w:numPr>
          <w:ilvl w:val="0"/>
          <w:numId w:val="6"/>
        </w:numPr>
        <w:spacing w:line="240" w:lineRule="auto"/>
        <w:ind w:firstLineChars="0"/>
        <w:rPr>
          <w:rFonts w:hint="eastAsia"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组间差异分析：</w:t>
      </w:r>
    </w:p>
    <w:p w14:paraId="71002075">
      <w:pPr>
        <w:spacing w:line="240" w:lineRule="auto"/>
        <w:ind w:firstLine="480" w:firstLineChars="200"/>
        <w:rPr>
          <w:rFonts w:hint="eastAsia"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细菌总数:在</w:t>
      </w:r>
      <w:r>
        <w:rPr>
          <w:rFonts w:hint="eastAsia" w:ascii="Times New Roman" w:hAnsi="Times New Roman" w:eastAsia="仿宋" w:cs="Times New Roman"/>
          <w:b/>
          <w:bCs/>
          <w:sz w:val="24"/>
          <w:szCs w:val="24"/>
          <w:lang w:val="en-US" w:eastAsia="zh-CN"/>
        </w:rPr>
        <w:t>夏季</w:t>
      </w:r>
      <w:r>
        <w:rPr>
          <w:rFonts w:hint="eastAsia" w:ascii="Times New Roman" w:hAnsi="Times New Roman" w:eastAsia="仿宋" w:cs="Times New Roman"/>
          <w:sz w:val="24"/>
          <w:szCs w:val="24"/>
          <w:lang w:eastAsia="zh-CN"/>
        </w:rPr>
        <w:t>大流量</w:t>
      </w:r>
      <w:r>
        <w:rPr>
          <w:rFonts w:hint="eastAsia" w:ascii="Times New Roman" w:hAnsi="Times New Roman" w:eastAsia="仿宋" w:cs="Times New Roman"/>
          <w:sz w:val="24"/>
          <w:szCs w:val="24"/>
          <w:lang w:val="en-US" w:eastAsia="zh-CN"/>
        </w:rPr>
        <w:t>超标率</w:t>
      </w:r>
      <w:r>
        <w:rPr>
          <w:rFonts w:hint="eastAsia" w:ascii="Times New Roman" w:hAnsi="Times New Roman" w:eastAsia="仿宋" w:cs="Times New Roman"/>
          <w:sz w:val="24"/>
          <w:szCs w:val="24"/>
        </w:rPr>
        <w:t>与</w:t>
      </w:r>
      <w:r>
        <w:rPr>
          <w:rFonts w:hint="eastAsia" w:ascii="Times New Roman" w:hAnsi="Times New Roman" w:eastAsia="仿宋" w:cs="Times New Roman"/>
          <w:sz w:val="24"/>
          <w:szCs w:val="24"/>
          <w:lang w:eastAsia="zh-CN"/>
        </w:rPr>
        <w:t>LS</w:t>
      </w:r>
      <w:r>
        <w:rPr>
          <w:rFonts w:hint="eastAsia" w:ascii="Times New Roman" w:hAnsi="Times New Roman" w:eastAsia="仿宋" w:cs="Times New Roman"/>
          <w:sz w:val="24"/>
          <w:szCs w:val="24"/>
        </w:rPr>
        <w:t>超标率无差异（</w:t>
      </w:r>
      <w:r>
        <w:rPr>
          <w:rFonts w:hint="eastAsia" w:ascii="Times New Roman" w:hAnsi="Times New Roman" w:eastAsia="仿宋" w:cs="Times New Roman"/>
          <w:i/>
          <w:iCs/>
          <w:kern w:val="2"/>
          <w:sz w:val="24"/>
          <w:szCs w:val="24"/>
          <w:lang w:val="en-US" w:eastAsia="zh-CN" w:bidi="ar-SA"/>
        </w:rPr>
        <w:t>P</w:t>
      </w:r>
      <w:r>
        <w:rPr>
          <w:rFonts w:ascii="Times New Roman" w:hAnsi="Times New Roman" w:eastAsia="仿宋" w:cs="Times New Roman"/>
          <w:sz w:val="24"/>
          <w:szCs w:val="24"/>
        </w:rPr>
        <w:t>&gt;0.05</w:t>
      </w:r>
      <w:r>
        <w:rPr>
          <w:rFonts w:hint="eastAsia" w:ascii="Times New Roman" w:hAnsi="Times New Roman" w:eastAsia="仿宋" w:cs="Times New Roman"/>
          <w:sz w:val="24"/>
          <w:szCs w:val="24"/>
        </w:rPr>
        <w:t>），</w:t>
      </w:r>
      <w:r>
        <w:rPr>
          <w:rFonts w:hint="eastAsia" w:ascii="Times New Roman" w:hAnsi="Times New Roman" w:eastAsia="仿宋" w:cs="Times New Roman"/>
          <w:sz w:val="24"/>
          <w:szCs w:val="24"/>
          <w:lang w:val="en-US" w:eastAsia="zh-CN"/>
        </w:rPr>
        <w:t>而</w:t>
      </w:r>
      <w:r>
        <w:rPr>
          <w:rFonts w:hint="eastAsia" w:ascii="Times New Roman" w:hAnsi="Times New Roman" w:eastAsia="仿宋" w:cs="Times New Roman"/>
          <w:sz w:val="24"/>
          <w:szCs w:val="24"/>
          <w:lang w:eastAsia="zh-CN"/>
        </w:rPr>
        <w:t>大流量</w:t>
      </w:r>
      <w:r>
        <w:rPr>
          <w:rFonts w:hint="eastAsia" w:ascii="Times New Roman" w:hAnsi="Times New Roman" w:eastAsia="仿宋" w:cs="Times New Roman"/>
          <w:sz w:val="24"/>
          <w:szCs w:val="24"/>
        </w:rPr>
        <w:t>样品</w:t>
      </w:r>
      <w:r>
        <w:rPr>
          <w:rFonts w:hint="eastAsia" w:ascii="Times New Roman" w:hAnsi="Times New Roman" w:eastAsia="仿宋" w:cs="Times New Roman"/>
          <w:sz w:val="24"/>
          <w:szCs w:val="24"/>
          <w:lang w:val="en-US" w:eastAsia="zh-CN"/>
        </w:rPr>
        <w:t>超标率</w:t>
      </w:r>
      <w:r>
        <w:rPr>
          <w:rFonts w:hint="eastAsia" w:ascii="Times New Roman" w:hAnsi="Times New Roman" w:eastAsia="仿宋" w:cs="Times New Roman"/>
          <w:sz w:val="24"/>
          <w:szCs w:val="24"/>
        </w:rPr>
        <w:t>与SKC法样品</w:t>
      </w:r>
      <w:r>
        <w:rPr>
          <w:rFonts w:hint="eastAsia" w:ascii="Times New Roman" w:hAnsi="Times New Roman" w:eastAsia="仿宋" w:cs="Times New Roman"/>
          <w:sz w:val="24"/>
          <w:szCs w:val="24"/>
          <w:lang w:val="en-US" w:eastAsia="zh-CN"/>
        </w:rPr>
        <w:t>超标率</w:t>
      </w:r>
      <w:r>
        <w:rPr>
          <w:rFonts w:hint="eastAsia" w:ascii="Times New Roman" w:hAnsi="Times New Roman" w:eastAsia="仿宋" w:cs="Times New Roman"/>
          <w:sz w:val="24"/>
          <w:szCs w:val="24"/>
        </w:rPr>
        <w:t>有差异（</w:t>
      </w:r>
      <w:r>
        <w:rPr>
          <w:rFonts w:hint="eastAsia" w:ascii="Times New Roman" w:hAnsi="Times New Roman" w:eastAsia="仿宋" w:cs="Times New Roman"/>
          <w:i/>
          <w:iCs/>
          <w:kern w:val="2"/>
          <w:sz w:val="24"/>
          <w:szCs w:val="24"/>
          <w:lang w:val="en-US" w:eastAsia="zh-CN" w:bidi="ar-SA"/>
        </w:rPr>
        <w:t>P</w:t>
      </w:r>
      <w:r>
        <w:rPr>
          <w:rFonts w:ascii="Times New Roman" w:hAnsi="Times New Roman" w:eastAsia="仿宋" w:cs="Times New Roman"/>
          <w:sz w:val="24"/>
          <w:szCs w:val="24"/>
        </w:rPr>
        <w:t>&lt;0.05</w:t>
      </w:r>
      <w:r>
        <w:rPr>
          <w:rFonts w:hint="eastAsia" w:ascii="Times New Roman" w:hAnsi="Times New Roman" w:eastAsia="仿宋" w:cs="Times New Roman"/>
          <w:sz w:val="24"/>
          <w:szCs w:val="24"/>
        </w:rPr>
        <w:t>）</w:t>
      </w:r>
      <w:r>
        <w:rPr>
          <w:rFonts w:hint="eastAsia" w:ascii="Times New Roman" w:hAnsi="Times New Roman" w:eastAsia="仿宋" w:cs="Times New Roman"/>
          <w:sz w:val="24"/>
          <w:szCs w:val="24"/>
          <w:lang w:eastAsia="zh-CN"/>
        </w:rPr>
        <w:t>，</w:t>
      </w:r>
      <w:r>
        <w:rPr>
          <w:rFonts w:hint="eastAsia" w:ascii="Times New Roman" w:hAnsi="Times New Roman" w:eastAsia="仿宋" w:cs="Times New Roman"/>
          <w:sz w:val="24"/>
          <w:szCs w:val="24"/>
          <w:lang w:val="en-US" w:eastAsia="zh-CN"/>
        </w:rPr>
        <w:t>在</w:t>
      </w:r>
      <w:r>
        <w:rPr>
          <w:rFonts w:hint="eastAsia" w:ascii="Times New Roman" w:hAnsi="Times New Roman" w:eastAsia="仿宋" w:cs="Times New Roman"/>
          <w:b/>
          <w:bCs/>
          <w:sz w:val="24"/>
          <w:szCs w:val="24"/>
          <w:lang w:val="en-US" w:eastAsia="zh-CN"/>
        </w:rPr>
        <w:t>冬季</w:t>
      </w:r>
      <w:r>
        <w:rPr>
          <w:rFonts w:hint="eastAsia" w:ascii="Times New Roman" w:hAnsi="Times New Roman" w:eastAsia="仿宋" w:cs="Times New Roman"/>
          <w:sz w:val="24"/>
          <w:szCs w:val="24"/>
          <w:lang w:val="en-US" w:eastAsia="zh-CN"/>
        </w:rPr>
        <w:t>则展现出相反的统计结果；</w:t>
      </w:r>
    </w:p>
    <w:p w14:paraId="5BB119A3">
      <w:pPr>
        <w:spacing w:line="240" w:lineRule="auto"/>
        <w:ind w:firstLine="480" w:firstLineChars="200"/>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真菌总数：显示无论夏冬，大流量超标率与</w:t>
      </w:r>
      <w:r>
        <w:rPr>
          <w:rFonts w:hint="eastAsia" w:ascii="Times New Roman" w:hAnsi="Times New Roman" w:eastAsia="仿宋" w:cs="Times New Roman"/>
          <w:sz w:val="24"/>
          <w:szCs w:val="24"/>
          <w:lang w:eastAsia="zh-CN"/>
        </w:rPr>
        <w:t>LS</w:t>
      </w:r>
      <w:r>
        <w:rPr>
          <w:rFonts w:hint="eastAsia" w:ascii="Times New Roman" w:hAnsi="Times New Roman" w:eastAsia="仿宋" w:cs="Times New Roman"/>
          <w:sz w:val="24"/>
          <w:szCs w:val="24"/>
          <w:lang w:val="en-US" w:eastAsia="zh-CN"/>
        </w:rPr>
        <w:t>及</w:t>
      </w:r>
      <w:r>
        <w:rPr>
          <w:rFonts w:hint="eastAsia" w:ascii="Times New Roman" w:hAnsi="Times New Roman" w:eastAsia="仿宋" w:cs="Times New Roman"/>
          <w:sz w:val="24"/>
          <w:szCs w:val="24"/>
        </w:rPr>
        <w:t>SKC法</w:t>
      </w:r>
      <w:r>
        <w:rPr>
          <w:rFonts w:hint="eastAsia" w:ascii="Times New Roman" w:hAnsi="Times New Roman" w:eastAsia="仿宋" w:cs="Times New Roman"/>
          <w:sz w:val="24"/>
          <w:szCs w:val="24"/>
          <w:lang w:val="en-US" w:eastAsia="zh-CN"/>
        </w:rPr>
        <w:t>超标率间均有差异（表6、7）。</w:t>
      </w:r>
    </w:p>
    <w:p w14:paraId="2FA70EDC">
      <w:pPr>
        <w:pStyle w:val="46"/>
        <w:numPr>
          <w:ilvl w:val="0"/>
          <w:numId w:val="6"/>
        </w:numPr>
        <w:spacing w:line="240" w:lineRule="auto"/>
        <w:ind w:firstLineChars="0"/>
        <w:rPr>
          <w:rFonts w:hint="eastAsia"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对同一方法不同季节间进行组间差异分析：</w:t>
      </w:r>
    </w:p>
    <w:p w14:paraId="6C133F21">
      <w:pPr>
        <w:spacing w:line="240" w:lineRule="auto"/>
        <w:ind w:firstLine="480" w:firstLineChars="200"/>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无论细菌总数或真菌总数，大流量样品超标率检测结果在夏冬季无差别</w:t>
      </w:r>
      <w:r>
        <w:rPr>
          <w:rFonts w:hint="eastAsia" w:ascii="Times New Roman" w:hAnsi="Times New Roman" w:eastAsia="仿宋" w:cs="Times New Roman"/>
          <w:sz w:val="24"/>
          <w:szCs w:val="24"/>
        </w:rPr>
        <w:t>（</w:t>
      </w:r>
      <w:r>
        <w:rPr>
          <w:rFonts w:hint="eastAsia" w:ascii="Times New Roman" w:hAnsi="Times New Roman" w:eastAsia="仿宋" w:cs="Times New Roman"/>
          <w:i/>
          <w:iCs/>
          <w:kern w:val="2"/>
          <w:sz w:val="24"/>
          <w:szCs w:val="24"/>
          <w:lang w:val="en-US" w:eastAsia="zh-CN" w:bidi="ar-SA"/>
        </w:rPr>
        <w:t>P</w:t>
      </w:r>
      <w:r>
        <w:rPr>
          <w:rFonts w:ascii="Times New Roman" w:hAnsi="Times New Roman" w:eastAsia="仿宋" w:cs="Times New Roman"/>
          <w:sz w:val="24"/>
          <w:szCs w:val="24"/>
        </w:rPr>
        <w:t>&gt;0.05</w:t>
      </w:r>
      <w:r>
        <w:rPr>
          <w:rFonts w:hint="eastAsia" w:ascii="Times New Roman" w:hAnsi="Times New Roman" w:eastAsia="仿宋" w:cs="Times New Roman"/>
          <w:sz w:val="24"/>
          <w:szCs w:val="24"/>
        </w:rPr>
        <w:t>）</w:t>
      </w:r>
      <w:r>
        <w:rPr>
          <w:rFonts w:hint="eastAsia" w:ascii="Times New Roman" w:hAnsi="Times New Roman" w:eastAsia="仿宋" w:cs="Times New Roman"/>
          <w:sz w:val="24"/>
          <w:szCs w:val="24"/>
          <w:lang w:val="en-US" w:eastAsia="zh-CN"/>
        </w:rPr>
        <w:t>，而</w:t>
      </w:r>
      <w:r>
        <w:rPr>
          <w:rFonts w:hint="eastAsia" w:ascii="Times New Roman" w:hAnsi="Times New Roman" w:eastAsia="仿宋" w:cs="Times New Roman"/>
          <w:sz w:val="24"/>
          <w:szCs w:val="24"/>
          <w:lang w:eastAsia="zh-CN"/>
        </w:rPr>
        <w:t>LS</w:t>
      </w:r>
      <w:r>
        <w:rPr>
          <w:rFonts w:hint="eastAsia" w:ascii="Times New Roman" w:hAnsi="Times New Roman" w:eastAsia="仿宋" w:cs="Times New Roman"/>
          <w:sz w:val="24"/>
          <w:szCs w:val="24"/>
          <w:lang w:val="en-US" w:eastAsia="zh-CN"/>
        </w:rPr>
        <w:t>与</w:t>
      </w:r>
      <w:r>
        <w:rPr>
          <w:rFonts w:hint="eastAsia" w:ascii="Times New Roman" w:hAnsi="Times New Roman" w:eastAsia="仿宋" w:cs="Times New Roman"/>
          <w:sz w:val="24"/>
          <w:szCs w:val="24"/>
        </w:rPr>
        <w:t>SKC法</w:t>
      </w:r>
      <w:r>
        <w:rPr>
          <w:rFonts w:hint="eastAsia" w:ascii="Times New Roman" w:hAnsi="Times New Roman" w:eastAsia="仿宋" w:cs="Times New Roman"/>
          <w:sz w:val="24"/>
          <w:szCs w:val="24"/>
          <w:lang w:val="en-US" w:eastAsia="zh-CN"/>
        </w:rPr>
        <w:t>的样品超标率在夏冬间有差异</w:t>
      </w:r>
      <w:r>
        <w:rPr>
          <w:rFonts w:hint="eastAsia" w:ascii="Times New Roman" w:hAnsi="Times New Roman" w:eastAsia="仿宋" w:cs="Times New Roman"/>
          <w:sz w:val="24"/>
          <w:szCs w:val="24"/>
        </w:rPr>
        <w:t>（</w:t>
      </w:r>
      <w:r>
        <w:rPr>
          <w:rFonts w:hint="eastAsia" w:ascii="Times New Roman" w:hAnsi="Times New Roman" w:eastAsia="仿宋" w:cs="Times New Roman"/>
          <w:i/>
          <w:iCs/>
          <w:kern w:val="2"/>
          <w:sz w:val="24"/>
          <w:szCs w:val="24"/>
          <w:lang w:val="en-US" w:eastAsia="zh-CN" w:bidi="ar-SA"/>
        </w:rPr>
        <w:t>P</w:t>
      </w:r>
      <w:r>
        <w:rPr>
          <w:rFonts w:ascii="Times New Roman" w:hAnsi="Times New Roman" w:eastAsia="仿宋" w:cs="Times New Roman"/>
          <w:sz w:val="24"/>
          <w:szCs w:val="24"/>
        </w:rPr>
        <w:t>&lt;0.05</w:t>
      </w:r>
      <w:r>
        <w:rPr>
          <w:rFonts w:hint="eastAsia" w:ascii="Times New Roman" w:hAnsi="Times New Roman" w:eastAsia="仿宋" w:cs="Times New Roman"/>
          <w:sz w:val="24"/>
          <w:szCs w:val="24"/>
        </w:rPr>
        <w:t>）</w:t>
      </w:r>
      <w:r>
        <w:rPr>
          <w:rFonts w:hint="eastAsia" w:ascii="Times New Roman" w:hAnsi="Times New Roman" w:eastAsia="仿宋" w:cs="Times New Roman"/>
          <w:sz w:val="24"/>
          <w:szCs w:val="24"/>
          <w:lang w:eastAsia="zh-CN"/>
        </w:rPr>
        <w:t>（</w:t>
      </w:r>
      <w:r>
        <w:rPr>
          <w:rFonts w:hint="eastAsia" w:ascii="Times New Roman" w:hAnsi="Times New Roman" w:eastAsia="仿宋" w:cs="Times New Roman"/>
          <w:sz w:val="24"/>
          <w:szCs w:val="24"/>
          <w:lang w:val="en-US" w:eastAsia="zh-CN"/>
        </w:rPr>
        <w:t>表8、9）。</w:t>
      </w:r>
    </w:p>
    <w:p w14:paraId="342E0615">
      <w:pPr>
        <w:spacing w:line="240" w:lineRule="auto"/>
        <w:jc w:val="center"/>
        <w:rPr>
          <w:rFonts w:ascii="Times New Roman" w:hAnsi="Times New Roman" w:eastAsia="仿宋" w:cs="Times New Roman"/>
          <w:sz w:val="24"/>
          <w:szCs w:val="24"/>
        </w:rPr>
      </w:pPr>
      <w:r>
        <w:rPr>
          <w:rFonts w:ascii="Times New Roman" w:hAnsi="Times New Roman" w:eastAsia="仿宋" w:cs="Times New Roman"/>
          <w:sz w:val="24"/>
          <w:szCs w:val="24"/>
        </w:rPr>
        <w:t>表</w:t>
      </w:r>
      <w:r>
        <w:rPr>
          <w:rFonts w:hint="eastAsia" w:ascii="Times New Roman" w:hAnsi="Times New Roman" w:eastAsia="仿宋" w:cs="Times New Roman"/>
          <w:sz w:val="24"/>
          <w:szCs w:val="24"/>
          <w:lang w:val="en-US" w:eastAsia="zh-CN"/>
        </w:rPr>
        <w:t>6</w:t>
      </w:r>
      <w:r>
        <w:rPr>
          <w:rFonts w:ascii="Times New Roman" w:hAnsi="Times New Roman" w:eastAsia="仿宋" w:cs="Times New Roman"/>
          <w:sz w:val="24"/>
          <w:szCs w:val="24"/>
        </w:rPr>
        <w:t xml:space="preserve"> </w:t>
      </w:r>
      <w:r>
        <w:rPr>
          <w:rFonts w:hint="eastAsia" w:ascii="Times New Roman" w:hAnsi="Times New Roman" w:eastAsia="仿宋" w:cs="Times New Roman"/>
          <w:sz w:val="24"/>
          <w:szCs w:val="24"/>
          <w:lang w:val="en-US" w:eastAsia="zh-CN"/>
        </w:rPr>
        <w:t>夏季</w:t>
      </w:r>
      <w:r>
        <w:rPr>
          <w:rFonts w:hint="eastAsia" w:ascii="Times New Roman" w:hAnsi="Times New Roman" w:eastAsia="仿宋" w:cs="Times New Roman"/>
          <w:sz w:val="24"/>
          <w:szCs w:val="24"/>
        </w:rPr>
        <w:t>三</w:t>
      </w:r>
      <w:r>
        <w:rPr>
          <w:rFonts w:ascii="Times New Roman" w:hAnsi="Times New Roman" w:eastAsia="仿宋" w:cs="Times New Roman"/>
          <w:sz w:val="24"/>
          <w:szCs w:val="24"/>
        </w:rPr>
        <w:t>种方法</w:t>
      </w:r>
      <w:r>
        <w:rPr>
          <w:rFonts w:hint="eastAsia" w:ascii="Times New Roman" w:hAnsi="Times New Roman" w:eastAsia="仿宋" w:cs="Times New Roman"/>
          <w:sz w:val="24"/>
          <w:szCs w:val="24"/>
        </w:rPr>
        <w:t>采集样品的结果超标率</w:t>
      </w:r>
      <w:r>
        <w:rPr>
          <w:rFonts w:ascii="Times New Roman" w:hAnsi="Times New Roman" w:eastAsia="仿宋" w:cs="Times New Roman"/>
          <w:sz w:val="24"/>
          <w:szCs w:val="24"/>
        </w:rPr>
        <w:t>卡方检验</w:t>
      </w:r>
    </w:p>
    <w:tbl>
      <w:tblPr>
        <w:tblStyle w:val="26"/>
        <w:tblW w:w="5000" w:type="pct"/>
        <w:tblInd w:w="0" w:type="dxa"/>
        <w:tblBorders>
          <w:top w:val="single" w:color="auto" w:sz="8" w:space="0"/>
          <w:left w:val="none" w:color="auto" w:sz="0" w:space="0"/>
          <w:bottom w:val="single" w:color="auto" w:sz="8"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61"/>
        <w:gridCol w:w="1624"/>
        <w:gridCol w:w="723"/>
        <w:gridCol w:w="1207"/>
        <w:gridCol w:w="1450"/>
        <w:gridCol w:w="1588"/>
        <w:gridCol w:w="769"/>
      </w:tblGrid>
      <w:tr w14:paraId="3DFB5D1E">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681" w:type="pct"/>
            <w:tcBorders>
              <w:top w:val="single" w:color="auto" w:sz="8" w:space="0"/>
              <w:bottom w:val="single" w:color="auto" w:sz="6" w:space="0"/>
            </w:tcBorders>
            <w:vAlign w:val="center"/>
          </w:tcPr>
          <w:p w14:paraId="64AC29A5">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eastAsia" w:ascii="Times New Roman" w:hAnsi="Times New Roman" w:eastAsia="仿宋" w:cs="Times New Roman"/>
                <w:kern w:val="0"/>
                <w:sz w:val="21"/>
                <w:szCs w:val="21"/>
              </w:rPr>
              <w:t>指标</w:t>
            </w:r>
          </w:p>
        </w:tc>
        <w:tc>
          <w:tcPr>
            <w:tcW w:w="952" w:type="pct"/>
            <w:tcBorders>
              <w:top w:val="single" w:color="auto" w:sz="8" w:space="0"/>
              <w:bottom w:val="single" w:color="auto" w:sz="6" w:space="0"/>
            </w:tcBorders>
            <w:vAlign w:val="center"/>
          </w:tcPr>
          <w:p w14:paraId="3BC68CDD">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方法</w:t>
            </w:r>
          </w:p>
        </w:tc>
        <w:tc>
          <w:tcPr>
            <w:tcW w:w="424" w:type="pct"/>
            <w:tcBorders>
              <w:top w:val="single" w:color="auto" w:sz="8" w:space="0"/>
              <w:bottom w:val="single" w:color="auto" w:sz="6" w:space="0"/>
            </w:tcBorders>
            <w:vAlign w:val="center"/>
          </w:tcPr>
          <w:p w14:paraId="4B16BFAB">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0"/>
              </w:rPr>
            </w:pPr>
            <w:r>
              <w:rPr>
                <w:rFonts w:hint="eastAsia" w:ascii="Times New Roman" w:hAnsi="Times New Roman" w:eastAsia="仿宋" w:cs="Times New Roman"/>
                <w:kern w:val="0"/>
                <w:sz w:val="22"/>
                <w:szCs w:val="20"/>
              </w:rPr>
              <w:t>例数</w:t>
            </w:r>
          </w:p>
        </w:tc>
        <w:tc>
          <w:tcPr>
            <w:tcW w:w="708" w:type="pct"/>
            <w:tcBorders>
              <w:top w:val="single" w:color="auto" w:sz="8" w:space="0"/>
              <w:bottom w:val="single" w:color="auto" w:sz="6" w:space="0"/>
            </w:tcBorders>
            <w:vAlign w:val="center"/>
          </w:tcPr>
          <w:p w14:paraId="42C3E49A">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0"/>
              </w:rPr>
            </w:pPr>
            <w:r>
              <w:rPr>
                <w:rFonts w:hint="eastAsia" w:ascii="Times New Roman" w:hAnsi="Times New Roman" w:eastAsia="仿宋" w:cs="Times New Roman"/>
                <w:kern w:val="0"/>
                <w:sz w:val="22"/>
                <w:szCs w:val="20"/>
              </w:rPr>
              <w:t>超标例数</w:t>
            </w:r>
          </w:p>
        </w:tc>
        <w:tc>
          <w:tcPr>
            <w:tcW w:w="850" w:type="pct"/>
            <w:tcBorders>
              <w:top w:val="single" w:color="auto" w:sz="8" w:space="0"/>
              <w:bottom w:val="single" w:color="auto" w:sz="6" w:space="0"/>
            </w:tcBorders>
            <w:vAlign w:val="center"/>
          </w:tcPr>
          <w:p w14:paraId="7025CDD8">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0"/>
              </w:rPr>
            </w:pPr>
            <w:r>
              <w:rPr>
                <w:rFonts w:hint="eastAsia" w:ascii="Times New Roman" w:hAnsi="Times New Roman" w:eastAsia="仿宋" w:cs="Times New Roman"/>
                <w:kern w:val="0"/>
                <w:sz w:val="22"/>
                <w:szCs w:val="20"/>
              </w:rPr>
              <w:t>不超标例数</w:t>
            </w:r>
          </w:p>
        </w:tc>
        <w:tc>
          <w:tcPr>
            <w:tcW w:w="931" w:type="pct"/>
            <w:tcBorders>
              <w:top w:val="single" w:color="auto" w:sz="8" w:space="0"/>
              <w:bottom w:val="single" w:color="auto" w:sz="6" w:space="0"/>
            </w:tcBorders>
            <w:vAlign w:val="center"/>
          </w:tcPr>
          <w:p w14:paraId="7556D8DE">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超标率（%）</w:t>
            </w:r>
          </w:p>
        </w:tc>
        <w:tc>
          <w:tcPr>
            <w:tcW w:w="451" w:type="pct"/>
            <w:tcBorders>
              <w:top w:val="single" w:color="auto" w:sz="8" w:space="0"/>
              <w:bottom w:val="single" w:color="auto" w:sz="6" w:space="0"/>
            </w:tcBorders>
            <w:vAlign w:val="center"/>
          </w:tcPr>
          <w:p w14:paraId="1FCAB12A">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P值</w:t>
            </w:r>
          </w:p>
        </w:tc>
      </w:tr>
      <w:tr w14:paraId="65EE89A9">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681" w:type="pct"/>
            <w:vMerge w:val="restart"/>
            <w:tcBorders>
              <w:top w:val="single" w:color="auto" w:sz="6" w:space="0"/>
            </w:tcBorders>
            <w:vAlign w:val="center"/>
          </w:tcPr>
          <w:p w14:paraId="6F301EF6">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细菌总数</w:t>
            </w:r>
          </w:p>
        </w:tc>
        <w:tc>
          <w:tcPr>
            <w:tcW w:w="952" w:type="pct"/>
            <w:tcBorders>
              <w:top w:val="single" w:color="auto" w:sz="6" w:space="0"/>
            </w:tcBorders>
            <w:vAlign w:val="center"/>
          </w:tcPr>
          <w:p w14:paraId="2420C61E">
            <w:pPr>
              <w:keepNext w:val="0"/>
              <w:keepLines w:val="0"/>
              <w:suppressLineNumbers w:val="0"/>
              <w:spacing w:before="0" w:beforeAutospacing="0" w:after="0" w:afterAutospacing="0" w:line="240" w:lineRule="auto"/>
              <w:ind w:left="0" w:right="0"/>
              <w:jc w:val="center"/>
              <w:rPr>
                <w:rFonts w:hint="eastAsia" w:ascii="Times New Roman" w:hAnsi="Times New Roman" w:eastAsia="仿宋" w:cs="Times New Roman"/>
                <w:kern w:val="0"/>
                <w:sz w:val="21"/>
                <w:szCs w:val="21"/>
                <w:lang w:eastAsia="zh-CN"/>
              </w:rPr>
            </w:pPr>
            <w:r>
              <w:rPr>
                <w:rFonts w:hint="eastAsia" w:ascii="Times New Roman" w:hAnsi="Times New Roman" w:eastAsia="仿宋" w:cs="Times New Roman"/>
                <w:kern w:val="0"/>
                <w:sz w:val="21"/>
                <w:szCs w:val="21"/>
                <w:lang w:eastAsia="zh-CN"/>
              </w:rPr>
              <w:t>大流量</w:t>
            </w:r>
          </w:p>
        </w:tc>
        <w:tc>
          <w:tcPr>
            <w:tcW w:w="723" w:type="dxa"/>
            <w:tcBorders>
              <w:top w:val="single" w:color="auto" w:sz="6" w:space="0"/>
            </w:tcBorders>
            <w:vAlign w:val="bottom"/>
          </w:tcPr>
          <w:p w14:paraId="185D4564">
            <w:pPr>
              <w:keepNext w:val="0"/>
              <w:keepLines w:val="0"/>
              <w:widowControl/>
              <w:suppressLineNumbers w:val="0"/>
              <w:spacing w:before="0" w:beforeAutospacing="0" w:after="0" w:afterAutospacing="0" w:line="240" w:lineRule="auto"/>
              <w:ind w:left="0" w:right="0"/>
              <w:jc w:val="center"/>
              <w:textAlignment w:val="bottom"/>
              <w:rPr>
                <w:rFonts w:hint="default" w:ascii="Times New Roman" w:hAnsi="Times New Roman" w:eastAsia="仿宋" w:cs="Times New Roman"/>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120</w:t>
            </w:r>
          </w:p>
        </w:tc>
        <w:tc>
          <w:tcPr>
            <w:tcW w:w="1207" w:type="dxa"/>
            <w:tcBorders>
              <w:top w:val="single" w:color="auto" w:sz="6" w:space="0"/>
            </w:tcBorders>
            <w:vAlign w:val="bottom"/>
          </w:tcPr>
          <w:p w14:paraId="4D3BD4A9">
            <w:pPr>
              <w:keepNext w:val="0"/>
              <w:keepLines w:val="0"/>
              <w:widowControl/>
              <w:suppressLineNumbers w:val="0"/>
              <w:spacing w:before="0" w:beforeAutospacing="0" w:after="0" w:afterAutospacing="0" w:line="240" w:lineRule="auto"/>
              <w:ind w:left="0" w:right="0"/>
              <w:jc w:val="center"/>
              <w:textAlignment w:val="bottom"/>
              <w:rPr>
                <w:rFonts w:hint="default" w:ascii="Times New Roman" w:hAnsi="Times New Roman" w:eastAsia="仿宋" w:cs="Times New Roman"/>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0</w:t>
            </w:r>
          </w:p>
        </w:tc>
        <w:tc>
          <w:tcPr>
            <w:tcW w:w="1450" w:type="dxa"/>
            <w:tcBorders>
              <w:top w:val="single" w:color="auto" w:sz="6" w:space="0"/>
            </w:tcBorders>
            <w:vAlign w:val="bottom"/>
          </w:tcPr>
          <w:p w14:paraId="0B5A2E3D">
            <w:pPr>
              <w:keepNext w:val="0"/>
              <w:keepLines w:val="0"/>
              <w:widowControl/>
              <w:suppressLineNumbers w:val="0"/>
              <w:spacing w:before="0" w:beforeAutospacing="0" w:after="0" w:afterAutospacing="0" w:line="240" w:lineRule="auto"/>
              <w:ind w:left="0" w:right="0"/>
              <w:jc w:val="center"/>
              <w:textAlignment w:val="bottom"/>
              <w:rPr>
                <w:rFonts w:hint="default" w:ascii="Times New Roman" w:hAnsi="Times New Roman" w:eastAsia="仿宋" w:cs="Times New Roman"/>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120</w:t>
            </w:r>
          </w:p>
        </w:tc>
        <w:tc>
          <w:tcPr>
            <w:tcW w:w="1588" w:type="dxa"/>
            <w:tcBorders>
              <w:top w:val="single" w:color="auto" w:sz="6" w:space="0"/>
            </w:tcBorders>
            <w:vAlign w:val="center"/>
          </w:tcPr>
          <w:p w14:paraId="1DACA1A5">
            <w:pPr>
              <w:keepNext w:val="0"/>
              <w:keepLines w:val="0"/>
              <w:widowControl/>
              <w:suppressLineNumbers w:val="0"/>
              <w:spacing w:before="0" w:beforeAutospacing="0" w:after="0" w:afterAutospacing="0" w:line="240" w:lineRule="auto"/>
              <w:ind w:left="0" w:right="0"/>
              <w:jc w:val="center"/>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 xml:space="preserve">0.00 </w:t>
            </w:r>
          </w:p>
        </w:tc>
        <w:tc>
          <w:tcPr>
            <w:tcW w:w="451" w:type="pct"/>
            <w:tcBorders>
              <w:top w:val="single" w:color="auto" w:sz="6" w:space="0"/>
            </w:tcBorders>
            <w:vAlign w:val="center"/>
          </w:tcPr>
          <w:p w14:paraId="02C1F55C">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p>
        </w:tc>
      </w:tr>
      <w:tr w14:paraId="6D135FBF">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681" w:type="pct"/>
            <w:vMerge w:val="continue"/>
            <w:vAlign w:val="center"/>
          </w:tcPr>
          <w:p w14:paraId="0B23FDEE">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p>
        </w:tc>
        <w:tc>
          <w:tcPr>
            <w:tcW w:w="952" w:type="pct"/>
            <w:vAlign w:val="center"/>
          </w:tcPr>
          <w:p w14:paraId="7ED13C4B">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eastAsia" w:ascii="Times New Roman" w:hAnsi="Times New Roman" w:eastAsia="仿宋" w:cs="Times New Roman"/>
                <w:kern w:val="0"/>
                <w:sz w:val="21"/>
                <w:szCs w:val="21"/>
                <w:lang w:eastAsia="zh-CN"/>
              </w:rPr>
              <w:t>LS</w:t>
            </w:r>
          </w:p>
        </w:tc>
        <w:tc>
          <w:tcPr>
            <w:tcW w:w="723" w:type="dxa"/>
            <w:vAlign w:val="bottom"/>
          </w:tcPr>
          <w:p w14:paraId="3C030939">
            <w:pPr>
              <w:keepNext w:val="0"/>
              <w:keepLines w:val="0"/>
              <w:widowControl/>
              <w:suppressLineNumbers w:val="0"/>
              <w:spacing w:before="0" w:beforeAutospacing="0" w:after="0" w:afterAutospacing="0" w:line="240" w:lineRule="auto"/>
              <w:ind w:left="0" w:right="0"/>
              <w:jc w:val="center"/>
              <w:textAlignment w:val="bottom"/>
              <w:rPr>
                <w:rFonts w:hint="default" w:ascii="Times New Roman" w:hAnsi="Times New Roman" w:eastAsia="仿宋" w:cs="Times New Roman"/>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119</w:t>
            </w:r>
          </w:p>
        </w:tc>
        <w:tc>
          <w:tcPr>
            <w:tcW w:w="1207" w:type="dxa"/>
            <w:vAlign w:val="bottom"/>
          </w:tcPr>
          <w:p w14:paraId="5B85B2D6">
            <w:pPr>
              <w:keepNext w:val="0"/>
              <w:keepLines w:val="0"/>
              <w:widowControl/>
              <w:suppressLineNumbers w:val="0"/>
              <w:spacing w:before="0" w:beforeAutospacing="0" w:after="0" w:afterAutospacing="0" w:line="240" w:lineRule="auto"/>
              <w:ind w:left="0" w:right="0"/>
              <w:jc w:val="center"/>
              <w:textAlignment w:val="bottom"/>
              <w:rPr>
                <w:rFonts w:hint="default" w:ascii="Times New Roman" w:hAnsi="Times New Roman" w:eastAsia="仿宋" w:cs="Times New Roman"/>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1450" w:type="dxa"/>
            <w:vAlign w:val="bottom"/>
          </w:tcPr>
          <w:p w14:paraId="332AA17F">
            <w:pPr>
              <w:keepNext w:val="0"/>
              <w:keepLines w:val="0"/>
              <w:widowControl/>
              <w:suppressLineNumbers w:val="0"/>
              <w:spacing w:before="0" w:beforeAutospacing="0" w:after="0" w:afterAutospacing="0" w:line="240" w:lineRule="auto"/>
              <w:ind w:left="0" w:right="0"/>
              <w:jc w:val="center"/>
              <w:textAlignment w:val="bottom"/>
              <w:rPr>
                <w:rFonts w:hint="default" w:ascii="Times New Roman" w:hAnsi="Times New Roman" w:eastAsia="仿宋" w:cs="Times New Roman"/>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115</w:t>
            </w:r>
          </w:p>
        </w:tc>
        <w:tc>
          <w:tcPr>
            <w:tcW w:w="1588" w:type="dxa"/>
            <w:vAlign w:val="center"/>
          </w:tcPr>
          <w:p w14:paraId="0582523E">
            <w:pPr>
              <w:keepNext w:val="0"/>
              <w:keepLines w:val="0"/>
              <w:widowControl/>
              <w:suppressLineNumbers w:val="0"/>
              <w:spacing w:before="0" w:beforeAutospacing="0" w:after="0" w:afterAutospacing="0" w:line="240" w:lineRule="auto"/>
              <w:ind w:left="0" w:right="0"/>
              <w:jc w:val="center"/>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 xml:space="preserve">3.36 </w:t>
            </w:r>
          </w:p>
        </w:tc>
        <w:tc>
          <w:tcPr>
            <w:tcW w:w="451" w:type="pct"/>
            <w:vAlign w:val="center"/>
          </w:tcPr>
          <w:p w14:paraId="7399C47A">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0.060</w:t>
            </w:r>
          </w:p>
        </w:tc>
      </w:tr>
      <w:tr w14:paraId="45008E26">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681" w:type="pct"/>
            <w:vMerge w:val="continue"/>
            <w:vAlign w:val="center"/>
          </w:tcPr>
          <w:p w14:paraId="1B4D2417">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p>
        </w:tc>
        <w:tc>
          <w:tcPr>
            <w:tcW w:w="952" w:type="pct"/>
            <w:tcBorders>
              <w:bottom w:val="single" w:color="auto" w:sz="6" w:space="0"/>
            </w:tcBorders>
            <w:vAlign w:val="center"/>
          </w:tcPr>
          <w:p w14:paraId="796E4A03">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SKC法</w:t>
            </w:r>
          </w:p>
        </w:tc>
        <w:tc>
          <w:tcPr>
            <w:tcW w:w="723" w:type="dxa"/>
            <w:tcBorders>
              <w:bottom w:val="single" w:color="auto" w:sz="6" w:space="0"/>
            </w:tcBorders>
            <w:vAlign w:val="bottom"/>
          </w:tcPr>
          <w:p w14:paraId="171A561F">
            <w:pPr>
              <w:keepNext w:val="0"/>
              <w:keepLines w:val="0"/>
              <w:widowControl/>
              <w:suppressLineNumbers w:val="0"/>
              <w:spacing w:before="0" w:beforeAutospacing="0" w:after="0" w:afterAutospacing="0" w:line="240" w:lineRule="auto"/>
              <w:ind w:left="0" w:right="0"/>
              <w:jc w:val="center"/>
              <w:textAlignment w:val="bottom"/>
              <w:rPr>
                <w:rFonts w:hint="default" w:ascii="Times New Roman" w:hAnsi="Times New Roman" w:eastAsia="仿宋" w:cs="Times New Roman"/>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40</w:t>
            </w:r>
          </w:p>
        </w:tc>
        <w:tc>
          <w:tcPr>
            <w:tcW w:w="1207" w:type="dxa"/>
            <w:tcBorders>
              <w:bottom w:val="single" w:color="auto" w:sz="6" w:space="0"/>
            </w:tcBorders>
            <w:vAlign w:val="bottom"/>
          </w:tcPr>
          <w:p w14:paraId="68668EA5">
            <w:pPr>
              <w:keepNext w:val="0"/>
              <w:keepLines w:val="0"/>
              <w:widowControl/>
              <w:suppressLineNumbers w:val="0"/>
              <w:spacing w:before="0" w:beforeAutospacing="0" w:after="0" w:afterAutospacing="0" w:line="240" w:lineRule="auto"/>
              <w:ind w:left="0" w:right="0"/>
              <w:jc w:val="center"/>
              <w:textAlignment w:val="bottom"/>
              <w:rPr>
                <w:rFonts w:hint="default" w:ascii="Times New Roman" w:hAnsi="Times New Roman" w:eastAsia="仿宋" w:cs="Times New Roman"/>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12</w:t>
            </w:r>
          </w:p>
        </w:tc>
        <w:tc>
          <w:tcPr>
            <w:tcW w:w="1450" w:type="dxa"/>
            <w:tcBorders>
              <w:bottom w:val="single" w:color="auto" w:sz="6" w:space="0"/>
            </w:tcBorders>
            <w:vAlign w:val="bottom"/>
          </w:tcPr>
          <w:p w14:paraId="417B304D">
            <w:pPr>
              <w:keepNext w:val="0"/>
              <w:keepLines w:val="0"/>
              <w:widowControl/>
              <w:suppressLineNumbers w:val="0"/>
              <w:spacing w:before="0" w:beforeAutospacing="0" w:after="0" w:afterAutospacing="0" w:line="240" w:lineRule="auto"/>
              <w:ind w:left="0" w:right="0"/>
              <w:jc w:val="center"/>
              <w:textAlignment w:val="bottom"/>
              <w:rPr>
                <w:rFonts w:hint="default" w:ascii="Times New Roman" w:hAnsi="Times New Roman" w:eastAsia="仿宋" w:cs="Times New Roman"/>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28</w:t>
            </w:r>
          </w:p>
        </w:tc>
        <w:tc>
          <w:tcPr>
            <w:tcW w:w="1588" w:type="dxa"/>
            <w:tcBorders>
              <w:bottom w:val="single" w:color="auto" w:sz="6" w:space="0"/>
            </w:tcBorders>
            <w:vAlign w:val="center"/>
          </w:tcPr>
          <w:p w14:paraId="2DF8C414">
            <w:pPr>
              <w:keepNext w:val="0"/>
              <w:keepLines w:val="0"/>
              <w:widowControl/>
              <w:suppressLineNumbers w:val="0"/>
              <w:spacing w:before="0" w:beforeAutospacing="0" w:after="0" w:afterAutospacing="0" w:line="240" w:lineRule="auto"/>
              <w:ind w:left="0" w:right="0"/>
              <w:jc w:val="center"/>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 xml:space="preserve">30.00 </w:t>
            </w:r>
          </w:p>
        </w:tc>
        <w:tc>
          <w:tcPr>
            <w:tcW w:w="451" w:type="pct"/>
            <w:tcBorders>
              <w:bottom w:val="single" w:color="auto" w:sz="6" w:space="0"/>
            </w:tcBorders>
            <w:vAlign w:val="center"/>
          </w:tcPr>
          <w:p w14:paraId="3B86FF65">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&lt;0.01</w:t>
            </w:r>
          </w:p>
        </w:tc>
      </w:tr>
      <w:tr w14:paraId="342197DC">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681" w:type="pct"/>
            <w:vMerge w:val="restart"/>
            <w:vAlign w:val="center"/>
          </w:tcPr>
          <w:p w14:paraId="415A1415">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真菌总数</w:t>
            </w:r>
          </w:p>
        </w:tc>
        <w:tc>
          <w:tcPr>
            <w:tcW w:w="952" w:type="pct"/>
            <w:tcBorders>
              <w:top w:val="single" w:color="auto" w:sz="6" w:space="0"/>
              <w:bottom w:val="nil"/>
            </w:tcBorders>
            <w:vAlign w:val="center"/>
          </w:tcPr>
          <w:p w14:paraId="37C14006">
            <w:pPr>
              <w:keepNext w:val="0"/>
              <w:keepLines w:val="0"/>
              <w:suppressLineNumbers w:val="0"/>
              <w:spacing w:before="0" w:beforeAutospacing="0" w:after="0" w:afterAutospacing="0" w:line="240" w:lineRule="auto"/>
              <w:ind w:left="0" w:right="0"/>
              <w:jc w:val="center"/>
              <w:rPr>
                <w:rFonts w:hint="eastAsia" w:ascii="Times New Roman" w:hAnsi="Times New Roman" w:eastAsia="仿宋" w:cs="Times New Roman"/>
                <w:kern w:val="0"/>
                <w:sz w:val="21"/>
                <w:szCs w:val="21"/>
                <w:lang w:eastAsia="zh-CN"/>
              </w:rPr>
            </w:pPr>
            <w:r>
              <w:rPr>
                <w:rFonts w:hint="eastAsia" w:ascii="Times New Roman" w:hAnsi="Times New Roman" w:eastAsia="仿宋" w:cs="Times New Roman"/>
                <w:kern w:val="0"/>
                <w:sz w:val="21"/>
                <w:szCs w:val="21"/>
                <w:lang w:eastAsia="zh-CN"/>
              </w:rPr>
              <w:t>大流量</w:t>
            </w:r>
          </w:p>
        </w:tc>
        <w:tc>
          <w:tcPr>
            <w:tcW w:w="723" w:type="dxa"/>
            <w:tcBorders>
              <w:top w:val="single" w:color="auto" w:sz="6" w:space="0"/>
              <w:bottom w:val="nil"/>
            </w:tcBorders>
            <w:vAlign w:val="bottom"/>
          </w:tcPr>
          <w:p w14:paraId="0BC1EA38">
            <w:pPr>
              <w:keepNext w:val="0"/>
              <w:keepLines w:val="0"/>
              <w:widowControl/>
              <w:suppressLineNumbers w:val="0"/>
              <w:spacing w:before="0" w:beforeAutospacing="0" w:after="0" w:afterAutospacing="0" w:line="240" w:lineRule="auto"/>
              <w:ind w:left="0" w:right="0"/>
              <w:jc w:val="center"/>
              <w:textAlignment w:val="bottom"/>
              <w:rPr>
                <w:rFonts w:hint="default" w:ascii="Times New Roman" w:hAnsi="Times New Roman" w:eastAsia="仿宋" w:cs="Times New Roman"/>
                <w:kern w:val="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1</w:t>
            </w:r>
            <w:r>
              <w:rPr>
                <w:rFonts w:hint="eastAsia" w:ascii="Times New Roman" w:hAnsi="Times New Roman" w:eastAsia="宋体" w:cs="Times New Roman"/>
                <w:i w:val="0"/>
                <w:iCs w:val="0"/>
                <w:color w:val="000000"/>
                <w:kern w:val="0"/>
                <w:sz w:val="21"/>
                <w:szCs w:val="21"/>
                <w:u w:val="none"/>
                <w:lang w:val="en-US" w:eastAsia="zh-CN" w:bidi="ar"/>
              </w:rPr>
              <w:t>20</w:t>
            </w:r>
          </w:p>
        </w:tc>
        <w:tc>
          <w:tcPr>
            <w:tcW w:w="1207" w:type="dxa"/>
            <w:tcBorders>
              <w:top w:val="single" w:color="auto" w:sz="6" w:space="0"/>
              <w:bottom w:val="nil"/>
            </w:tcBorders>
            <w:vAlign w:val="bottom"/>
          </w:tcPr>
          <w:p w14:paraId="29431720">
            <w:pPr>
              <w:keepNext w:val="0"/>
              <w:keepLines w:val="0"/>
              <w:widowControl/>
              <w:suppressLineNumbers w:val="0"/>
              <w:spacing w:before="0" w:beforeAutospacing="0" w:after="0" w:afterAutospacing="0" w:line="240" w:lineRule="auto"/>
              <w:ind w:left="0" w:right="0"/>
              <w:jc w:val="center"/>
              <w:textAlignment w:val="bottom"/>
              <w:rPr>
                <w:rFonts w:hint="default" w:ascii="Times New Roman" w:hAnsi="Times New Roman" w:eastAsia="仿宋" w:cs="Times New Roman"/>
                <w:kern w:val="0"/>
                <w:sz w:val="21"/>
                <w:szCs w:val="21"/>
              </w:rPr>
            </w:pPr>
            <w:r>
              <w:rPr>
                <w:rFonts w:hint="eastAsia" w:ascii="Times New Roman" w:hAnsi="Times New Roman" w:eastAsia="宋体" w:cs="Times New Roman"/>
                <w:i w:val="0"/>
                <w:iCs w:val="0"/>
                <w:color w:val="000000"/>
                <w:kern w:val="0"/>
                <w:sz w:val="21"/>
                <w:szCs w:val="21"/>
                <w:u w:val="none"/>
                <w:lang w:val="en-US" w:eastAsia="zh-CN" w:bidi="ar"/>
              </w:rPr>
              <w:t>1</w:t>
            </w:r>
          </w:p>
        </w:tc>
        <w:tc>
          <w:tcPr>
            <w:tcW w:w="1450" w:type="dxa"/>
            <w:tcBorders>
              <w:top w:val="single" w:color="auto" w:sz="6" w:space="0"/>
              <w:bottom w:val="nil"/>
            </w:tcBorders>
            <w:vAlign w:val="bottom"/>
          </w:tcPr>
          <w:p w14:paraId="0DDAE39F">
            <w:pPr>
              <w:keepNext w:val="0"/>
              <w:keepLines w:val="0"/>
              <w:widowControl/>
              <w:suppressLineNumbers w:val="0"/>
              <w:spacing w:before="0" w:beforeAutospacing="0" w:after="0" w:afterAutospacing="0" w:line="240" w:lineRule="auto"/>
              <w:ind w:left="0" w:right="0"/>
              <w:jc w:val="center"/>
              <w:textAlignment w:val="bottom"/>
              <w:rPr>
                <w:rFonts w:hint="default" w:ascii="Times New Roman" w:hAnsi="Times New Roman" w:eastAsia="仿宋" w:cs="Times New Roman"/>
                <w:kern w:val="0"/>
                <w:sz w:val="21"/>
                <w:szCs w:val="21"/>
                <w:lang w:val="en-US"/>
              </w:rPr>
            </w:pPr>
            <w:r>
              <w:rPr>
                <w:rFonts w:hint="eastAsia" w:ascii="Times New Roman" w:hAnsi="Times New Roman" w:eastAsia="宋体" w:cs="Times New Roman"/>
                <w:i w:val="0"/>
                <w:iCs w:val="0"/>
                <w:color w:val="000000"/>
                <w:kern w:val="0"/>
                <w:sz w:val="21"/>
                <w:szCs w:val="21"/>
                <w:u w:val="none"/>
                <w:lang w:val="en-US" w:eastAsia="zh-CN" w:bidi="ar"/>
              </w:rPr>
              <w:t>119</w:t>
            </w:r>
          </w:p>
        </w:tc>
        <w:tc>
          <w:tcPr>
            <w:tcW w:w="1588" w:type="dxa"/>
            <w:tcBorders>
              <w:top w:val="single" w:color="auto" w:sz="6" w:space="0"/>
              <w:bottom w:val="nil"/>
            </w:tcBorders>
            <w:vAlign w:val="center"/>
          </w:tcPr>
          <w:p w14:paraId="215AF8B2">
            <w:pPr>
              <w:keepNext w:val="0"/>
              <w:keepLines w:val="0"/>
              <w:widowControl/>
              <w:suppressLineNumbers w:val="0"/>
              <w:spacing w:before="0" w:beforeAutospacing="0" w:after="0" w:afterAutospacing="0" w:line="240" w:lineRule="auto"/>
              <w:ind w:left="0" w:right="0"/>
              <w:jc w:val="center"/>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 xml:space="preserve">0.83 </w:t>
            </w:r>
          </w:p>
        </w:tc>
        <w:tc>
          <w:tcPr>
            <w:tcW w:w="451" w:type="pct"/>
            <w:tcBorders>
              <w:top w:val="single" w:color="auto" w:sz="6" w:space="0"/>
              <w:bottom w:val="nil"/>
            </w:tcBorders>
            <w:vAlign w:val="center"/>
          </w:tcPr>
          <w:p w14:paraId="3A038567">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p>
        </w:tc>
      </w:tr>
      <w:tr w14:paraId="163C787F">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681" w:type="pct"/>
            <w:vMerge w:val="continue"/>
            <w:vAlign w:val="center"/>
          </w:tcPr>
          <w:p w14:paraId="07CBABCA">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p>
        </w:tc>
        <w:tc>
          <w:tcPr>
            <w:tcW w:w="952" w:type="pct"/>
            <w:tcBorders>
              <w:top w:val="nil"/>
            </w:tcBorders>
            <w:vAlign w:val="center"/>
          </w:tcPr>
          <w:p w14:paraId="2B8A2832">
            <w:pPr>
              <w:keepNext w:val="0"/>
              <w:keepLines w:val="0"/>
              <w:suppressLineNumbers w:val="0"/>
              <w:spacing w:before="0" w:beforeAutospacing="0" w:after="0" w:afterAutospacing="0" w:line="240" w:lineRule="auto"/>
              <w:ind w:left="0" w:right="0"/>
              <w:jc w:val="center"/>
              <w:rPr>
                <w:rFonts w:hint="eastAsia"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eastAsia="zh-CN"/>
              </w:rPr>
              <w:t>LS</w:t>
            </w:r>
          </w:p>
        </w:tc>
        <w:tc>
          <w:tcPr>
            <w:tcW w:w="723" w:type="dxa"/>
            <w:tcBorders>
              <w:top w:val="nil"/>
            </w:tcBorders>
            <w:vAlign w:val="bottom"/>
          </w:tcPr>
          <w:p w14:paraId="6E34C866">
            <w:pPr>
              <w:keepNext w:val="0"/>
              <w:keepLines w:val="0"/>
              <w:widowControl/>
              <w:suppressLineNumbers w:val="0"/>
              <w:spacing w:before="0" w:beforeAutospacing="0" w:after="0" w:afterAutospacing="0" w:line="240" w:lineRule="auto"/>
              <w:ind w:left="0" w:right="0"/>
              <w:jc w:val="center"/>
              <w:textAlignment w:val="bottom"/>
              <w:rPr>
                <w:rFonts w:hint="default" w:ascii="Times New Roman" w:hAnsi="Times New Roman" w:eastAsia="仿宋" w:cs="Times New Roman"/>
                <w:kern w:val="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1</w:t>
            </w:r>
            <w:r>
              <w:rPr>
                <w:rFonts w:hint="eastAsia" w:ascii="Times New Roman" w:hAnsi="Times New Roman" w:eastAsia="宋体" w:cs="Times New Roman"/>
                <w:i w:val="0"/>
                <w:iCs w:val="0"/>
                <w:color w:val="000000"/>
                <w:kern w:val="0"/>
                <w:sz w:val="21"/>
                <w:szCs w:val="21"/>
                <w:u w:val="none"/>
                <w:lang w:val="en-US" w:eastAsia="zh-CN" w:bidi="ar"/>
              </w:rPr>
              <w:t>20</w:t>
            </w:r>
          </w:p>
        </w:tc>
        <w:tc>
          <w:tcPr>
            <w:tcW w:w="1207" w:type="dxa"/>
            <w:tcBorders>
              <w:top w:val="nil"/>
            </w:tcBorders>
            <w:vAlign w:val="bottom"/>
          </w:tcPr>
          <w:p w14:paraId="79F8E0C5">
            <w:pPr>
              <w:keepNext w:val="0"/>
              <w:keepLines w:val="0"/>
              <w:widowControl/>
              <w:suppressLineNumbers w:val="0"/>
              <w:spacing w:before="0" w:beforeAutospacing="0" w:after="0" w:afterAutospacing="0" w:line="240" w:lineRule="auto"/>
              <w:ind w:left="0" w:right="0"/>
              <w:jc w:val="center"/>
              <w:textAlignment w:val="bottom"/>
              <w:rPr>
                <w:rFonts w:hint="default" w:ascii="Times New Roman" w:hAnsi="Times New Roman" w:eastAsia="仿宋" w:cs="Times New Roman"/>
                <w:kern w:val="0"/>
                <w:sz w:val="21"/>
                <w:szCs w:val="21"/>
                <w:lang w:val="en-US"/>
              </w:rPr>
            </w:pPr>
            <w:r>
              <w:rPr>
                <w:rFonts w:hint="eastAsia" w:ascii="Times New Roman" w:hAnsi="Times New Roman" w:eastAsia="宋体" w:cs="Times New Roman"/>
                <w:i w:val="0"/>
                <w:iCs w:val="0"/>
                <w:color w:val="000000"/>
                <w:kern w:val="0"/>
                <w:sz w:val="21"/>
                <w:szCs w:val="21"/>
                <w:u w:val="none"/>
                <w:lang w:val="en-US" w:eastAsia="zh-CN" w:bidi="ar"/>
              </w:rPr>
              <w:t>42</w:t>
            </w:r>
          </w:p>
        </w:tc>
        <w:tc>
          <w:tcPr>
            <w:tcW w:w="1450" w:type="dxa"/>
            <w:tcBorders>
              <w:top w:val="nil"/>
            </w:tcBorders>
            <w:vAlign w:val="bottom"/>
          </w:tcPr>
          <w:p w14:paraId="5BD3DF2C">
            <w:pPr>
              <w:keepNext w:val="0"/>
              <w:keepLines w:val="0"/>
              <w:widowControl/>
              <w:suppressLineNumbers w:val="0"/>
              <w:spacing w:before="0" w:beforeAutospacing="0" w:after="0" w:afterAutospacing="0" w:line="240" w:lineRule="auto"/>
              <w:ind w:left="0" w:right="0"/>
              <w:jc w:val="center"/>
              <w:textAlignment w:val="bottom"/>
              <w:rPr>
                <w:rFonts w:hint="default"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78</w:t>
            </w:r>
          </w:p>
        </w:tc>
        <w:tc>
          <w:tcPr>
            <w:tcW w:w="1588" w:type="dxa"/>
            <w:tcBorders>
              <w:top w:val="nil"/>
            </w:tcBorders>
            <w:vAlign w:val="center"/>
          </w:tcPr>
          <w:p w14:paraId="6A2593B1">
            <w:pPr>
              <w:keepNext w:val="0"/>
              <w:keepLines w:val="0"/>
              <w:widowControl/>
              <w:suppressLineNumbers w:val="0"/>
              <w:spacing w:before="0" w:beforeAutospacing="0" w:after="0" w:afterAutospacing="0" w:line="240" w:lineRule="auto"/>
              <w:ind w:left="0" w:right="0"/>
              <w:jc w:val="center"/>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 xml:space="preserve">35.00 </w:t>
            </w:r>
          </w:p>
        </w:tc>
        <w:tc>
          <w:tcPr>
            <w:tcW w:w="451" w:type="pct"/>
            <w:tcBorders>
              <w:top w:val="nil"/>
            </w:tcBorders>
            <w:vAlign w:val="center"/>
          </w:tcPr>
          <w:p w14:paraId="3E9FDF0B">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&lt;0.01</w:t>
            </w:r>
          </w:p>
        </w:tc>
      </w:tr>
      <w:tr w14:paraId="3CCFBCE9">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681" w:type="pct"/>
            <w:vMerge w:val="continue"/>
            <w:vAlign w:val="center"/>
          </w:tcPr>
          <w:p w14:paraId="28E76F43">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p>
        </w:tc>
        <w:tc>
          <w:tcPr>
            <w:tcW w:w="952" w:type="pct"/>
            <w:vAlign w:val="center"/>
          </w:tcPr>
          <w:p w14:paraId="51A42FFC">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SKC法</w:t>
            </w:r>
          </w:p>
        </w:tc>
        <w:tc>
          <w:tcPr>
            <w:tcW w:w="723" w:type="dxa"/>
            <w:vAlign w:val="bottom"/>
          </w:tcPr>
          <w:p w14:paraId="22D1BDCD">
            <w:pPr>
              <w:keepNext w:val="0"/>
              <w:keepLines w:val="0"/>
              <w:widowControl/>
              <w:suppressLineNumbers w:val="0"/>
              <w:spacing w:before="0" w:beforeAutospacing="0" w:after="0" w:afterAutospacing="0" w:line="240" w:lineRule="auto"/>
              <w:ind w:left="0" w:right="0"/>
              <w:jc w:val="center"/>
              <w:textAlignment w:val="bottom"/>
              <w:rPr>
                <w:rFonts w:hint="default" w:ascii="Times New Roman" w:hAnsi="Times New Roman" w:eastAsia="仿宋" w:cs="Times New Roman"/>
                <w:kern w:val="0"/>
                <w:sz w:val="21"/>
                <w:szCs w:val="21"/>
                <w:lang w:val="en-US"/>
              </w:rPr>
            </w:pPr>
            <w:r>
              <w:rPr>
                <w:rFonts w:hint="default" w:ascii="Times New Roman" w:hAnsi="Times New Roman" w:eastAsia="宋体" w:cs="Times New Roman"/>
                <w:i w:val="0"/>
                <w:iCs w:val="0"/>
                <w:color w:val="000000"/>
                <w:kern w:val="0"/>
                <w:sz w:val="21"/>
                <w:szCs w:val="21"/>
                <w:u w:val="none"/>
                <w:lang w:val="en-US" w:eastAsia="zh-CN" w:bidi="ar"/>
              </w:rPr>
              <w:t>4</w:t>
            </w:r>
            <w:r>
              <w:rPr>
                <w:rFonts w:hint="eastAsia" w:ascii="Times New Roman" w:hAnsi="Times New Roman" w:eastAsia="宋体" w:cs="Times New Roman"/>
                <w:i w:val="0"/>
                <w:iCs w:val="0"/>
                <w:color w:val="000000"/>
                <w:kern w:val="0"/>
                <w:sz w:val="21"/>
                <w:szCs w:val="21"/>
                <w:u w:val="none"/>
                <w:lang w:val="en-US" w:eastAsia="zh-CN" w:bidi="ar"/>
              </w:rPr>
              <w:t>0</w:t>
            </w:r>
          </w:p>
        </w:tc>
        <w:tc>
          <w:tcPr>
            <w:tcW w:w="1207" w:type="dxa"/>
            <w:vAlign w:val="bottom"/>
          </w:tcPr>
          <w:p w14:paraId="636B207C">
            <w:pPr>
              <w:keepNext w:val="0"/>
              <w:keepLines w:val="0"/>
              <w:widowControl/>
              <w:suppressLineNumbers w:val="0"/>
              <w:spacing w:before="0" w:beforeAutospacing="0" w:after="0" w:afterAutospacing="0" w:line="240" w:lineRule="auto"/>
              <w:ind w:left="0" w:right="0"/>
              <w:jc w:val="center"/>
              <w:textAlignment w:val="bottom"/>
              <w:rPr>
                <w:rFonts w:hint="default" w:ascii="Times New Roman" w:hAnsi="Times New Roman" w:eastAsia="仿宋" w:cs="Times New Roman"/>
                <w:kern w:val="0"/>
                <w:sz w:val="21"/>
                <w:szCs w:val="21"/>
                <w:lang w:val="en-US"/>
              </w:rPr>
            </w:pPr>
            <w:r>
              <w:rPr>
                <w:rFonts w:hint="eastAsia" w:ascii="Times New Roman" w:hAnsi="Times New Roman" w:eastAsia="宋体" w:cs="Times New Roman"/>
                <w:i w:val="0"/>
                <w:iCs w:val="0"/>
                <w:color w:val="000000"/>
                <w:kern w:val="0"/>
                <w:sz w:val="21"/>
                <w:szCs w:val="21"/>
                <w:u w:val="none"/>
                <w:lang w:val="en-US" w:eastAsia="zh-CN" w:bidi="ar"/>
              </w:rPr>
              <w:t>26</w:t>
            </w:r>
          </w:p>
        </w:tc>
        <w:tc>
          <w:tcPr>
            <w:tcW w:w="1450" w:type="dxa"/>
            <w:vAlign w:val="bottom"/>
          </w:tcPr>
          <w:p w14:paraId="1FCA2C09">
            <w:pPr>
              <w:keepNext w:val="0"/>
              <w:keepLines w:val="0"/>
              <w:widowControl/>
              <w:suppressLineNumbers w:val="0"/>
              <w:spacing w:before="0" w:beforeAutospacing="0" w:after="0" w:afterAutospacing="0" w:line="240" w:lineRule="auto"/>
              <w:ind w:left="0" w:right="0"/>
              <w:jc w:val="center"/>
              <w:textAlignment w:val="bottom"/>
              <w:rPr>
                <w:rFonts w:hint="default" w:ascii="Times New Roman" w:hAnsi="Times New Roman" w:eastAsia="仿宋" w:cs="Times New Roman"/>
                <w:kern w:val="0"/>
                <w:sz w:val="21"/>
                <w:szCs w:val="21"/>
                <w:lang w:val="en-US"/>
              </w:rPr>
            </w:pPr>
            <w:r>
              <w:rPr>
                <w:rFonts w:hint="eastAsia" w:ascii="Times New Roman" w:hAnsi="Times New Roman" w:eastAsia="宋体" w:cs="Times New Roman"/>
                <w:i w:val="0"/>
                <w:iCs w:val="0"/>
                <w:color w:val="000000"/>
                <w:kern w:val="0"/>
                <w:sz w:val="21"/>
                <w:szCs w:val="21"/>
                <w:u w:val="none"/>
                <w:lang w:val="en-US" w:eastAsia="zh-CN" w:bidi="ar"/>
              </w:rPr>
              <w:t>14</w:t>
            </w:r>
          </w:p>
        </w:tc>
        <w:tc>
          <w:tcPr>
            <w:tcW w:w="1588" w:type="dxa"/>
            <w:vAlign w:val="center"/>
          </w:tcPr>
          <w:p w14:paraId="2A0819D5">
            <w:pPr>
              <w:keepNext w:val="0"/>
              <w:keepLines w:val="0"/>
              <w:widowControl/>
              <w:suppressLineNumbers w:val="0"/>
              <w:spacing w:before="0" w:beforeAutospacing="0" w:after="0" w:afterAutospacing="0" w:line="240" w:lineRule="auto"/>
              <w:ind w:left="0" w:right="0"/>
              <w:jc w:val="center"/>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 xml:space="preserve">65.00 </w:t>
            </w:r>
          </w:p>
        </w:tc>
        <w:tc>
          <w:tcPr>
            <w:tcW w:w="451" w:type="pct"/>
            <w:vAlign w:val="center"/>
          </w:tcPr>
          <w:p w14:paraId="13D3BB93">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&lt;0.01</w:t>
            </w:r>
          </w:p>
        </w:tc>
      </w:tr>
    </w:tbl>
    <w:p w14:paraId="40481167">
      <w:pPr>
        <w:spacing w:line="240" w:lineRule="auto"/>
        <w:jc w:val="center"/>
        <w:rPr>
          <w:rFonts w:hint="eastAsia" w:ascii="Times New Roman" w:hAnsi="Times New Roman" w:eastAsia="仿宋" w:cs="Times New Roman"/>
          <w:b/>
          <w:sz w:val="24"/>
          <w:szCs w:val="24"/>
        </w:rPr>
      </w:pPr>
      <w:r>
        <w:rPr>
          <w:rFonts w:ascii="Times New Roman" w:hAnsi="Times New Roman" w:eastAsia="仿宋" w:cs="Times New Roman"/>
          <w:sz w:val="24"/>
          <w:szCs w:val="24"/>
        </w:rPr>
        <w:t>表</w:t>
      </w:r>
      <w:r>
        <w:rPr>
          <w:rFonts w:hint="eastAsia" w:ascii="Times New Roman" w:hAnsi="Times New Roman" w:eastAsia="仿宋" w:cs="Times New Roman"/>
          <w:sz w:val="24"/>
          <w:szCs w:val="24"/>
          <w:lang w:val="en-US" w:eastAsia="zh-CN"/>
        </w:rPr>
        <w:t>7冬季</w:t>
      </w:r>
      <w:r>
        <w:rPr>
          <w:rFonts w:hint="eastAsia" w:ascii="Times New Roman" w:hAnsi="Times New Roman" w:eastAsia="仿宋" w:cs="Times New Roman"/>
          <w:sz w:val="24"/>
          <w:szCs w:val="24"/>
        </w:rPr>
        <w:t>三</w:t>
      </w:r>
      <w:r>
        <w:rPr>
          <w:rFonts w:ascii="Times New Roman" w:hAnsi="Times New Roman" w:eastAsia="仿宋" w:cs="Times New Roman"/>
          <w:sz w:val="24"/>
          <w:szCs w:val="24"/>
        </w:rPr>
        <w:t>种方法</w:t>
      </w:r>
      <w:r>
        <w:rPr>
          <w:rFonts w:hint="eastAsia" w:ascii="Times New Roman" w:hAnsi="Times New Roman" w:eastAsia="仿宋" w:cs="Times New Roman"/>
          <w:sz w:val="24"/>
          <w:szCs w:val="24"/>
        </w:rPr>
        <w:t>采集样品的结果超标率</w:t>
      </w:r>
      <w:r>
        <w:rPr>
          <w:rFonts w:ascii="Times New Roman" w:hAnsi="Times New Roman" w:eastAsia="仿宋" w:cs="Times New Roman"/>
          <w:sz w:val="24"/>
          <w:szCs w:val="24"/>
        </w:rPr>
        <w:t>卡方检验</w:t>
      </w:r>
    </w:p>
    <w:tbl>
      <w:tblPr>
        <w:tblStyle w:val="26"/>
        <w:tblW w:w="5000" w:type="pct"/>
        <w:tblInd w:w="0" w:type="dxa"/>
        <w:tblBorders>
          <w:top w:val="single" w:color="auto" w:sz="8" w:space="0"/>
          <w:left w:val="none" w:color="auto" w:sz="0" w:space="0"/>
          <w:bottom w:val="single" w:color="auto" w:sz="8"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62"/>
        <w:gridCol w:w="1624"/>
        <w:gridCol w:w="723"/>
        <w:gridCol w:w="1207"/>
        <w:gridCol w:w="1449"/>
        <w:gridCol w:w="1587"/>
        <w:gridCol w:w="770"/>
      </w:tblGrid>
      <w:tr w14:paraId="7FC75708">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PrEx>
        <w:trPr>
          <w:trHeight w:val="227" w:hRule="atLeast"/>
        </w:trPr>
        <w:tc>
          <w:tcPr>
            <w:tcW w:w="1162" w:type="dxa"/>
            <w:tcBorders>
              <w:top w:val="single" w:color="auto" w:sz="8" w:space="0"/>
              <w:bottom w:val="single" w:color="auto" w:sz="6" w:space="0"/>
            </w:tcBorders>
            <w:vAlign w:val="center"/>
          </w:tcPr>
          <w:p w14:paraId="780FE078">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eastAsia" w:ascii="Times New Roman" w:hAnsi="Times New Roman" w:eastAsia="仿宋" w:cs="Times New Roman"/>
                <w:kern w:val="0"/>
                <w:sz w:val="21"/>
                <w:szCs w:val="21"/>
              </w:rPr>
              <w:t>指标</w:t>
            </w:r>
          </w:p>
        </w:tc>
        <w:tc>
          <w:tcPr>
            <w:tcW w:w="1624" w:type="dxa"/>
            <w:tcBorders>
              <w:top w:val="single" w:color="auto" w:sz="8" w:space="0"/>
              <w:bottom w:val="single" w:color="auto" w:sz="6" w:space="0"/>
            </w:tcBorders>
            <w:vAlign w:val="center"/>
          </w:tcPr>
          <w:p w14:paraId="5608CEC1">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方法</w:t>
            </w:r>
          </w:p>
        </w:tc>
        <w:tc>
          <w:tcPr>
            <w:tcW w:w="723" w:type="dxa"/>
            <w:tcBorders>
              <w:top w:val="single" w:color="auto" w:sz="8" w:space="0"/>
              <w:bottom w:val="single" w:color="auto" w:sz="6" w:space="0"/>
            </w:tcBorders>
            <w:vAlign w:val="center"/>
          </w:tcPr>
          <w:p w14:paraId="1AC8C64A">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0"/>
              </w:rPr>
            </w:pPr>
            <w:r>
              <w:rPr>
                <w:rFonts w:hint="eastAsia" w:ascii="Times New Roman" w:hAnsi="Times New Roman" w:eastAsia="仿宋" w:cs="Times New Roman"/>
                <w:kern w:val="0"/>
                <w:sz w:val="22"/>
                <w:szCs w:val="20"/>
              </w:rPr>
              <w:t>例数</w:t>
            </w:r>
          </w:p>
        </w:tc>
        <w:tc>
          <w:tcPr>
            <w:tcW w:w="1207" w:type="dxa"/>
            <w:tcBorders>
              <w:top w:val="single" w:color="auto" w:sz="8" w:space="0"/>
              <w:bottom w:val="single" w:color="auto" w:sz="6" w:space="0"/>
            </w:tcBorders>
            <w:vAlign w:val="center"/>
          </w:tcPr>
          <w:p w14:paraId="58231340">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0"/>
              </w:rPr>
            </w:pPr>
            <w:r>
              <w:rPr>
                <w:rFonts w:hint="eastAsia" w:ascii="Times New Roman" w:hAnsi="Times New Roman" w:eastAsia="仿宋" w:cs="Times New Roman"/>
                <w:kern w:val="0"/>
                <w:sz w:val="22"/>
                <w:szCs w:val="20"/>
              </w:rPr>
              <w:t>超标例数</w:t>
            </w:r>
          </w:p>
        </w:tc>
        <w:tc>
          <w:tcPr>
            <w:tcW w:w="1449" w:type="dxa"/>
            <w:tcBorders>
              <w:top w:val="single" w:color="auto" w:sz="8" w:space="0"/>
              <w:bottom w:val="single" w:color="auto" w:sz="6" w:space="0"/>
            </w:tcBorders>
            <w:vAlign w:val="center"/>
          </w:tcPr>
          <w:p w14:paraId="19A2FD3D">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2"/>
                <w:szCs w:val="20"/>
              </w:rPr>
            </w:pPr>
            <w:r>
              <w:rPr>
                <w:rFonts w:hint="eastAsia" w:ascii="Times New Roman" w:hAnsi="Times New Roman" w:eastAsia="仿宋" w:cs="Times New Roman"/>
                <w:kern w:val="0"/>
                <w:sz w:val="22"/>
                <w:szCs w:val="20"/>
              </w:rPr>
              <w:t>不超标例数</w:t>
            </w:r>
          </w:p>
        </w:tc>
        <w:tc>
          <w:tcPr>
            <w:tcW w:w="1587" w:type="dxa"/>
            <w:tcBorders>
              <w:top w:val="single" w:color="auto" w:sz="8" w:space="0"/>
              <w:bottom w:val="single" w:color="auto" w:sz="6" w:space="0"/>
            </w:tcBorders>
            <w:vAlign w:val="center"/>
          </w:tcPr>
          <w:p w14:paraId="54DA22CD">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超标率（%）</w:t>
            </w:r>
          </w:p>
        </w:tc>
        <w:tc>
          <w:tcPr>
            <w:tcW w:w="770" w:type="dxa"/>
            <w:tcBorders>
              <w:top w:val="single" w:color="auto" w:sz="8" w:space="0"/>
              <w:bottom w:val="single" w:color="auto" w:sz="6" w:space="0"/>
            </w:tcBorders>
            <w:vAlign w:val="center"/>
          </w:tcPr>
          <w:p w14:paraId="589724E1">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P值</w:t>
            </w:r>
          </w:p>
        </w:tc>
      </w:tr>
      <w:tr w14:paraId="2081FAA9">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162" w:type="dxa"/>
            <w:vMerge w:val="restart"/>
            <w:tcBorders>
              <w:top w:val="single" w:color="auto" w:sz="6" w:space="0"/>
            </w:tcBorders>
            <w:vAlign w:val="center"/>
          </w:tcPr>
          <w:p w14:paraId="62043145">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细菌总数</w:t>
            </w:r>
          </w:p>
        </w:tc>
        <w:tc>
          <w:tcPr>
            <w:tcW w:w="1624" w:type="dxa"/>
            <w:tcBorders>
              <w:top w:val="single" w:color="auto" w:sz="6" w:space="0"/>
            </w:tcBorders>
            <w:vAlign w:val="center"/>
          </w:tcPr>
          <w:p w14:paraId="78313F02">
            <w:pPr>
              <w:keepNext w:val="0"/>
              <w:keepLines w:val="0"/>
              <w:suppressLineNumbers w:val="0"/>
              <w:spacing w:before="0" w:beforeAutospacing="0" w:after="0" w:afterAutospacing="0" w:line="240" w:lineRule="auto"/>
              <w:ind w:left="0" w:right="0"/>
              <w:jc w:val="center"/>
              <w:rPr>
                <w:rFonts w:hint="eastAsia" w:ascii="Times New Roman" w:hAnsi="Times New Roman" w:eastAsia="仿宋" w:cs="Times New Roman"/>
                <w:kern w:val="0"/>
                <w:sz w:val="21"/>
                <w:szCs w:val="21"/>
                <w:lang w:eastAsia="zh-CN"/>
              </w:rPr>
            </w:pPr>
            <w:r>
              <w:rPr>
                <w:rFonts w:hint="eastAsia" w:ascii="Times New Roman" w:hAnsi="Times New Roman" w:eastAsia="仿宋" w:cs="Times New Roman"/>
                <w:kern w:val="0"/>
                <w:sz w:val="21"/>
                <w:szCs w:val="21"/>
                <w:lang w:eastAsia="zh-CN"/>
              </w:rPr>
              <w:t>大流量</w:t>
            </w:r>
          </w:p>
        </w:tc>
        <w:tc>
          <w:tcPr>
            <w:tcW w:w="723" w:type="dxa"/>
            <w:tcBorders>
              <w:top w:val="single" w:color="auto" w:sz="6" w:space="0"/>
            </w:tcBorders>
            <w:vAlign w:val="center"/>
          </w:tcPr>
          <w:p w14:paraId="4372DB31">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w:t>
            </w:r>
            <w:r>
              <w:rPr>
                <w:rFonts w:hint="eastAsia" w:ascii="Times New Roman" w:hAnsi="Times New Roman" w:eastAsia="仿宋" w:cs="Times New Roman"/>
                <w:kern w:val="0"/>
                <w:sz w:val="21"/>
                <w:szCs w:val="21"/>
                <w:lang w:val="en-US" w:eastAsia="zh-CN"/>
              </w:rPr>
              <w:t>32</w:t>
            </w:r>
          </w:p>
        </w:tc>
        <w:tc>
          <w:tcPr>
            <w:tcW w:w="1207" w:type="dxa"/>
            <w:tcBorders>
              <w:top w:val="single" w:color="auto" w:sz="6" w:space="0"/>
            </w:tcBorders>
            <w:vAlign w:val="center"/>
          </w:tcPr>
          <w:p w14:paraId="2886C380">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w:t>
            </w:r>
          </w:p>
        </w:tc>
        <w:tc>
          <w:tcPr>
            <w:tcW w:w="1449" w:type="dxa"/>
            <w:tcBorders>
              <w:top w:val="single" w:color="auto" w:sz="6" w:space="0"/>
            </w:tcBorders>
            <w:vAlign w:val="center"/>
          </w:tcPr>
          <w:p w14:paraId="6DD3989B">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w:t>
            </w:r>
            <w:r>
              <w:rPr>
                <w:rFonts w:hint="eastAsia" w:ascii="Times New Roman" w:hAnsi="Times New Roman" w:eastAsia="仿宋" w:cs="Times New Roman"/>
                <w:kern w:val="0"/>
                <w:sz w:val="21"/>
                <w:szCs w:val="21"/>
                <w:lang w:val="en-US" w:eastAsia="zh-CN"/>
              </w:rPr>
              <w:t>32</w:t>
            </w:r>
          </w:p>
        </w:tc>
        <w:tc>
          <w:tcPr>
            <w:tcW w:w="1587" w:type="dxa"/>
            <w:tcBorders>
              <w:top w:val="single" w:color="auto" w:sz="6" w:space="0"/>
            </w:tcBorders>
            <w:vAlign w:val="center"/>
          </w:tcPr>
          <w:p w14:paraId="6DA91553">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 xml:space="preserve">0.00 </w:t>
            </w:r>
          </w:p>
        </w:tc>
        <w:tc>
          <w:tcPr>
            <w:tcW w:w="770" w:type="dxa"/>
            <w:tcBorders>
              <w:top w:val="single" w:color="auto" w:sz="6" w:space="0"/>
            </w:tcBorders>
            <w:vAlign w:val="center"/>
          </w:tcPr>
          <w:p w14:paraId="7274EB57">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p>
        </w:tc>
      </w:tr>
      <w:tr w14:paraId="59933754">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162" w:type="dxa"/>
            <w:vMerge w:val="continue"/>
            <w:vAlign w:val="center"/>
          </w:tcPr>
          <w:p w14:paraId="50D4FFBC">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p>
        </w:tc>
        <w:tc>
          <w:tcPr>
            <w:tcW w:w="1624" w:type="dxa"/>
            <w:vAlign w:val="center"/>
          </w:tcPr>
          <w:p w14:paraId="50BFF046">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eastAsia" w:ascii="Times New Roman" w:hAnsi="Times New Roman" w:eastAsia="仿宋" w:cs="Times New Roman"/>
                <w:kern w:val="0"/>
                <w:sz w:val="21"/>
                <w:szCs w:val="21"/>
                <w:lang w:eastAsia="zh-CN"/>
              </w:rPr>
              <w:t>LS</w:t>
            </w:r>
          </w:p>
        </w:tc>
        <w:tc>
          <w:tcPr>
            <w:tcW w:w="723" w:type="dxa"/>
            <w:vAlign w:val="center"/>
          </w:tcPr>
          <w:p w14:paraId="3DD0941E">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w:t>
            </w:r>
            <w:r>
              <w:rPr>
                <w:rFonts w:hint="eastAsia" w:ascii="Times New Roman" w:hAnsi="Times New Roman" w:eastAsia="仿宋" w:cs="Times New Roman"/>
                <w:kern w:val="0"/>
                <w:sz w:val="21"/>
                <w:szCs w:val="21"/>
                <w:lang w:val="en-US" w:eastAsia="zh-CN"/>
              </w:rPr>
              <w:t>32</w:t>
            </w:r>
          </w:p>
        </w:tc>
        <w:tc>
          <w:tcPr>
            <w:tcW w:w="1207" w:type="dxa"/>
            <w:vAlign w:val="center"/>
          </w:tcPr>
          <w:p w14:paraId="55D063F2">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eastAsia" w:ascii="Times New Roman" w:hAnsi="Times New Roman" w:eastAsia="仿宋" w:cs="Times New Roman"/>
                <w:kern w:val="0"/>
                <w:sz w:val="21"/>
                <w:szCs w:val="21"/>
                <w:lang w:val="en-US" w:eastAsia="zh-CN"/>
              </w:rPr>
              <w:t>0</w:t>
            </w:r>
          </w:p>
        </w:tc>
        <w:tc>
          <w:tcPr>
            <w:tcW w:w="1449" w:type="dxa"/>
            <w:vAlign w:val="center"/>
          </w:tcPr>
          <w:p w14:paraId="27FD470A">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w:t>
            </w:r>
            <w:r>
              <w:rPr>
                <w:rFonts w:hint="eastAsia" w:ascii="Times New Roman" w:hAnsi="Times New Roman" w:eastAsia="仿宋" w:cs="Times New Roman"/>
                <w:kern w:val="0"/>
                <w:sz w:val="21"/>
                <w:szCs w:val="21"/>
                <w:lang w:val="en-US" w:eastAsia="zh-CN"/>
              </w:rPr>
              <w:t>32</w:t>
            </w:r>
          </w:p>
        </w:tc>
        <w:tc>
          <w:tcPr>
            <w:tcW w:w="1587" w:type="dxa"/>
            <w:vAlign w:val="center"/>
          </w:tcPr>
          <w:p w14:paraId="7A7CB179">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 xml:space="preserve">0.00 </w:t>
            </w:r>
          </w:p>
        </w:tc>
        <w:tc>
          <w:tcPr>
            <w:tcW w:w="770" w:type="dxa"/>
            <w:vAlign w:val="center"/>
          </w:tcPr>
          <w:p w14:paraId="67FC1CCC">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lang w:val="en-US"/>
              </w:rPr>
            </w:pPr>
            <w:r>
              <w:rPr>
                <w:rFonts w:hint="eastAsia" w:ascii="Times New Roman" w:hAnsi="Times New Roman" w:eastAsia="仿宋" w:cs="Times New Roman"/>
                <w:kern w:val="0"/>
                <w:sz w:val="21"/>
                <w:szCs w:val="21"/>
                <w:lang w:val="en-US" w:eastAsia="zh-CN"/>
              </w:rPr>
              <w:t>&gt;0.05</w:t>
            </w:r>
          </w:p>
        </w:tc>
      </w:tr>
      <w:tr w14:paraId="7A55BE44">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162" w:type="dxa"/>
            <w:vMerge w:val="continue"/>
            <w:vAlign w:val="center"/>
          </w:tcPr>
          <w:p w14:paraId="20B513F9">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p>
        </w:tc>
        <w:tc>
          <w:tcPr>
            <w:tcW w:w="1624" w:type="dxa"/>
            <w:tcBorders>
              <w:bottom w:val="single" w:color="auto" w:sz="6" w:space="0"/>
            </w:tcBorders>
            <w:vAlign w:val="center"/>
          </w:tcPr>
          <w:p w14:paraId="6F1314E6">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SKC法</w:t>
            </w:r>
          </w:p>
        </w:tc>
        <w:tc>
          <w:tcPr>
            <w:tcW w:w="723" w:type="dxa"/>
            <w:tcBorders>
              <w:bottom w:val="single" w:color="auto" w:sz="6" w:space="0"/>
            </w:tcBorders>
            <w:vAlign w:val="center"/>
          </w:tcPr>
          <w:p w14:paraId="18C8027A">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4</w:t>
            </w:r>
            <w:r>
              <w:rPr>
                <w:rFonts w:hint="eastAsia" w:ascii="Times New Roman" w:hAnsi="Times New Roman" w:eastAsia="仿宋" w:cs="Times New Roman"/>
                <w:kern w:val="0"/>
                <w:sz w:val="21"/>
                <w:szCs w:val="21"/>
                <w:lang w:val="en-US" w:eastAsia="zh-CN"/>
              </w:rPr>
              <w:t>4</w:t>
            </w:r>
          </w:p>
        </w:tc>
        <w:tc>
          <w:tcPr>
            <w:tcW w:w="1207" w:type="dxa"/>
            <w:tcBorders>
              <w:bottom w:val="single" w:color="auto" w:sz="6" w:space="0"/>
            </w:tcBorders>
            <w:vAlign w:val="center"/>
          </w:tcPr>
          <w:p w14:paraId="7977F458">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eastAsia" w:ascii="Times New Roman" w:hAnsi="Times New Roman" w:eastAsia="仿宋" w:cs="Times New Roman"/>
                <w:kern w:val="0"/>
                <w:sz w:val="21"/>
                <w:szCs w:val="21"/>
                <w:lang w:val="en-US" w:eastAsia="zh-CN"/>
              </w:rPr>
              <w:t>1</w:t>
            </w:r>
          </w:p>
        </w:tc>
        <w:tc>
          <w:tcPr>
            <w:tcW w:w="1449" w:type="dxa"/>
            <w:tcBorders>
              <w:bottom w:val="single" w:color="auto" w:sz="6" w:space="0"/>
            </w:tcBorders>
            <w:vAlign w:val="center"/>
          </w:tcPr>
          <w:p w14:paraId="7253D356">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4</w:t>
            </w:r>
            <w:r>
              <w:rPr>
                <w:rFonts w:hint="eastAsia" w:ascii="Times New Roman" w:hAnsi="Times New Roman" w:eastAsia="仿宋" w:cs="Times New Roman"/>
                <w:kern w:val="0"/>
                <w:sz w:val="21"/>
                <w:szCs w:val="21"/>
                <w:lang w:val="en-US" w:eastAsia="zh-CN"/>
              </w:rPr>
              <w:t>3</w:t>
            </w:r>
          </w:p>
        </w:tc>
        <w:tc>
          <w:tcPr>
            <w:tcW w:w="1587" w:type="dxa"/>
            <w:tcBorders>
              <w:bottom w:val="single" w:color="auto" w:sz="6" w:space="0"/>
            </w:tcBorders>
            <w:vAlign w:val="center"/>
          </w:tcPr>
          <w:p w14:paraId="71E7E7AE">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 xml:space="preserve">2.27 </w:t>
            </w:r>
          </w:p>
        </w:tc>
        <w:tc>
          <w:tcPr>
            <w:tcW w:w="770" w:type="dxa"/>
            <w:tcBorders>
              <w:bottom w:val="single" w:color="auto" w:sz="6" w:space="0"/>
            </w:tcBorders>
            <w:vAlign w:val="center"/>
          </w:tcPr>
          <w:p w14:paraId="3922CB80">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eastAsia" w:ascii="Times New Roman" w:hAnsi="Times New Roman" w:eastAsia="仿宋" w:cs="Times New Roman"/>
                <w:kern w:val="0"/>
                <w:sz w:val="21"/>
                <w:szCs w:val="21"/>
                <w:lang w:val="en-US" w:eastAsia="zh-CN"/>
              </w:rPr>
              <w:t>0.250</w:t>
            </w:r>
          </w:p>
        </w:tc>
      </w:tr>
      <w:tr w14:paraId="6BF61B15">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162" w:type="dxa"/>
            <w:vMerge w:val="restart"/>
            <w:vAlign w:val="center"/>
          </w:tcPr>
          <w:p w14:paraId="75CF4D6A">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真菌总数</w:t>
            </w:r>
          </w:p>
        </w:tc>
        <w:tc>
          <w:tcPr>
            <w:tcW w:w="1624" w:type="dxa"/>
            <w:tcBorders>
              <w:top w:val="single" w:color="auto" w:sz="6" w:space="0"/>
              <w:bottom w:val="nil"/>
            </w:tcBorders>
            <w:vAlign w:val="center"/>
          </w:tcPr>
          <w:p w14:paraId="06B56774">
            <w:pPr>
              <w:keepNext w:val="0"/>
              <w:keepLines w:val="0"/>
              <w:suppressLineNumbers w:val="0"/>
              <w:spacing w:before="0" w:beforeAutospacing="0" w:after="0" w:afterAutospacing="0" w:line="240" w:lineRule="auto"/>
              <w:ind w:left="0" w:right="0"/>
              <w:jc w:val="center"/>
              <w:rPr>
                <w:rFonts w:hint="eastAsia" w:ascii="Times New Roman" w:hAnsi="Times New Roman" w:eastAsia="仿宋" w:cs="Times New Roman"/>
                <w:kern w:val="0"/>
                <w:sz w:val="21"/>
                <w:szCs w:val="21"/>
                <w:lang w:eastAsia="zh-CN"/>
              </w:rPr>
            </w:pPr>
            <w:r>
              <w:rPr>
                <w:rFonts w:hint="eastAsia" w:ascii="Times New Roman" w:hAnsi="Times New Roman" w:eastAsia="仿宋" w:cs="Times New Roman"/>
                <w:kern w:val="0"/>
                <w:sz w:val="21"/>
                <w:szCs w:val="21"/>
                <w:lang w:eastAsia="zh-CN"/>
              </w:rPr>
              <w:t>大流量</w:t>
            </w:r>
          </w:p>
        </w:tc>
        <w:tc>
          <w:tcPr>
            <w:tcW w:w="723" w:type="dxa"/>
            <w:tcBorders>
              <w:top w:val="single" w:color="auto" w:sz="6" w:space="0"/>
              <w:bottom w:val="nil"/>
            </w:tcBorders>
            <w:vAlign w:val="bottom"/>
          </w:tcPr>
          <w:p w14:paraId="4DB7A274">
            <w:pPr>
              <w:keepNext w:val="0"/>
              <w:keepLines w:val="0"/>
              <w:widowControl/>
              <w:suppressLineNumbers w:val="0"/>
              <w:spacing w:before="0" w:beforeAutospacing="0" w:after="0" w:afterAutospacing="0" w:line="240" w:lineRule="auto"/>
              <w:ind w:left="0" w:right="0"/>
              <w:jc w:val="center"/>
              <w:textAlignment w:val="bottom"/>
              <w:rPr>
                <w:rFonts w:hint="default" w:ascii="Times New Roman" w:hAnsi="Times New Roman" w:eastAsia="仿宋" w:cs="Times New Roman"/>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132</w:t>
            </w:r>
          </w:p>
        </w:tc>
        <w:tc>
          <w:tcPr>
            <w:tcW w:w="1207" w:type="dxa"/>
            <w:tcBorders>
              <w:top w:val="single" w:color="auto" w:sz="6" w:space="0"/>
              <w:bottom w:val="nil"/>
            </w:tcBorders>
            <w:vAlign w:val="bottom"/>
          </w:tcPr>
          <w:p w14:paraId="2CED1957">
            <w:pPr>
              <w:keepNext w:val="0"/>
              <w:keepLines w:val="0"/>
              <w:widowControl/>
              <w:suppressLineNumbers w:val="0"/>
              <w:spacing w:before="0" w:beforeAutospacing="0" w:after="0" w:afterAutospacing="0" w:line="240" w:lineRule="auto"/>
              <w:ind w:left="0" w:right="0"/>
              <w:jc w:val="center"/>
              <w:textAlignment w:val="bottom"/>
              <w:rPr>
                <w:rFonts w:hint="default" w:ascii="Times New Roman" w:hAnsi="Times New Roman" w:eastAsia="仿宋" w:cs="Times New Roman"/>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0</w:t>
            </w:r>
          </w:p>
        </w:tc>
        <w:tc>
          <w:tcPr>
            <w:tcW w:w="1449" w:type="dxa"/>
            <w:tcBorders>
              <w:top w:val="single" w:color="auto" w:sz="6" w:space="0"/>
              <w:bottom w:val="nil"/>
            </w:tcBorders>
            <w:vAlign w:val="bottom"/>
          </w:tcPr>
          <w:p w14:paraId="43E3F0D0">
            <w:pPr>
              <w:keepNext w:val="0"/>
              <w:keepLines w:val="0"/>
              <w:widowControl/>
              <w:suppressLineNumbers w:val="0"/>
              <w:spacing w:before="0" w:beforeAutospacing="0" w:after="0" w:afterAutospacing="0" w:line="240" w:lineRule="auto"/>
              <w:ind w:left="0" w:right="0"/>
              <w:jc w:val="center"/>
              <w:textAlignment w:val="bottom"/>
              <w:rPr>
                <w:rFonts w:hint="default" w:ascii="Times New Roman" w:hAnsi="Times New Roman" w:eastAsia="仿宋" w:cs="Times New Roman"/>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132</w:t>
            </w:r>
          </w:p>
        </w:tc>
        <w:tc>
          <w:tcPr>
            <w:tcW w:w="1587" w:type="dxa"/>
            <w:tcBorders>
              <w:top w:val="single" w:color="auto" w:sz="6" w:space="0"/>
              <w:bottom w:val="nil"/>
            </w:tcBorders>
            <w:vAlign w:val="center"/>
          </w:tcPr>
          <w:p w14:paraId="2B23A7E5">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 xml:space="preserve">0.00 </w:t>
            </w:r>
          </w:p>
        </w:tc>
        <w:tc>
          <w:tcPr>
            <w:tcW w:w="770" w:type="dxa"/>
            <w:tcBorders>
              <w:top w:val="single" w:color="auto" w:sz="6" w:space="0"/>
              <w:bottom w:val="nil"/>
            </w:tcBorders>
            <w:vAlign w:val="center"/>
          </w:tcPr>
          <w:p w14:paraId="797193EA">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p>
        </w:tc>
      </w:tr>
      <w:tr w14:paraId="1A5125CE">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162" w:type="dxa"/>
            <w:vMerge w:val="continue"/>
            <w:vAlign w:val="center"/>
          </w:tcPr>
          <w:p w14:paraId="103A52CC">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p>
        </w:tc>
        <w:tc>
          <w:tcPr>
            <w:tcW w:w="1624" w:type="dxa"/>
            <w:tcBorders>
              <w:top w:val="nil"/>
            </w:tcBorders>
            <w:vAlign w:val="center"/>
          </w:tcPr>
          <w:p w14:paraId="165B3B1F">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eastAsia" w:ascii="Times New Roman" w:hAnsi="Times New Roman" w:eastAsia="仿宋" w:cs="Times New Roman"/>
                <w:kern w:val="0"/>
                <w:sz w:val="21"/>
                <w:szCs w:val="21"/>
                <w:lang w:eastAsia="zh-CN"/>
              </w:rPr>
              <w:t>LS</w:t>
            </w:r>
          </w:p>
        </w:tc>
        <w:tc>
          <w:tcPr>
            <w:tcW w:w="723" w:type="dxa"/>
            <w:tcBorders>
              <w:top w:val="nil"/>
            </w:tcBorders>
            <w:vAlign w:val="bottom"/>
          </w:tcPr>
          <w:p w14:paraId="0C39829F">
            <w:pPr>
              <w:keepNext w:val="0"/>
              <w:keepLines w:val="0"/>
              <w:widowControl/>
              <w:suppressLineNumbers w:val="0"/>
              <w:spacing w:before="0" w:beforeAutospacing="0" w:after="0" w:afterAutospacing="0" w:line="240" w:lineRule="auto"/>
              <w:ind w:left="0" w:right="0"/>
              <w:jc w:val="center"/>
              <w:textAlignment w:val="bottom"/>
              <w:rPr>
                <w:rFonts w:hint="default" w:ascii="Times New Roman" w:hAnsi="Times New Roman" w:eastAsia="仿宋" w:cs="Times New Roman"/>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132</w:t>
            </w:r>
          </w:p>
        </w:tc>
        <w:tc>
          <w:tcPr>
            <w:tcW w:w="1207" w:type="dxa"/>
            <w:tcBorders>
              <w:top w:val="nil"/>
            </w:tcBorders>
            <w:vAlign w:val="bottom"/>
          </w:tcPr>
          <w:p w14:paraId="6BC15D93">
            <w:pPr>
              <w:keepNext w:val="0"/>
              <w:keepLines w:val="0"/>
              <w:widowControl/>
              <w:suppressLineNumbers w:val="0"/>
              <w:spacing w:before="0" w:beforeAutospacing="0" w:after="0" w:afterAutospacing="0" w:line="240" w:lineRule="auto"/>
              <w:ind w:left="0" w:right="0"/>
              <w:jc w:val="center"/>
              <w:textAlignment w:val="bottom"/>
              <w:rPr>
                <w:rFonts w:hint="default" w:ascii="Times New Roman" w:hAnsi="Times New Roman" w:eastAsia="仿宋" w:cs="Times New Roman"/>
                <w:kern w:val="0"/>
                <w:sz w:val="21"/>
                <w:szCs w:val="21"/>
                <w:lang w:val="en-US" w:eastAsia="zh-CN"/>
              </w:rPr>
            </w:pPr>
            <w:r>
              <w:rPr>
                <w:rFonts w:hint="eastAsia" w:ascii="Times New Roman" w:hAnsi="Times New Roman" w:eastAsia="宋体" w:cs="Times New Roman"/>
                <w:i w:val="0"/>
                <w:iCs w:val="0"/>
                <w:color w:val="000000"/>
                <w:kern w:val="0"/>
                <w:sz w:val="21"/>
                <w:szCs w:val="21"/>
                <w:u w:val="none"/>
                <w:lang w:val="en-US" w:eastAsia="zh-CN" w:bidi="ar"/>
              </w:rPr>
              <w:t>32</w:t>
            </w:r>
          </w:p>
        </w:tc>
        <w:tc>
          <w:tcPr>
            <w:tcW w:w="1449" w:type="dxa"/>
            <w:tcBorders>
              <w:top w:val="nil"/>
            </w:tcBorders>
            <w:vAlign w:val="bottom"/>
          </w:tcPr>
          <w:p w14:paraId="070D66EC">
            <w:pPr>
              <w:keepNext w:val="0"/>
              <w:keepLines w:val="0"/>
              <w:widowControl/>
              <w:suppressLineNumbers w:val="0"/>
              <w:spacing w:before="0" w:beforeAutospacing="0" w:after="0" w:afterAutospacing="0" w:line="240" w:lineRule="auto"/>
              <w:ind w:left="0" w:right="0"/>
              <w:jc w:val="center"/>
              <w:textAlignment w:val="bottom"/>
              <w:rPr>
                <w:rFonts w:hint="default" w:ascii="Times New Roman" w:hAnsi="Times New Roman" w:eastAsia="仿宋" w:cs="Times New Roman"/>
                <w:kern w:val="0"/>
                <w:sz w:val="21"/>
                <w:szCs w:val="21"/>
                <w:lang w:val="en-US"/>
              </w:rPr>
            </w:pPr>
            <w:r>
              <w:rPr>
                <w:rFonts w:hint="default" w:ascii="Times New Roman" w:hAnsi="Times New Roman" w:eastAsia="宋体" w:cs="Times New Roman"/>
                <w:i w:val="0"/>
                <w:iCs w:val="0"/>
                <w:color w:val="000000"/>
                <w:kern w:val="0"/>
                <w:sz w:val="21"/>
                <w:szCs w:val="21"/>
                <w:u w:val="none"/>
                <w:lang w:val="en-US" w:eastAsia="zh-CN" w:bidi="ar"/>
              </w:rPr>
              <w:t>1</w:t>
            </w:r>
            <w:r>
              <w:rPr>
                <w:rFonts w:hint="eastAsia" w:ascii="Times New Roman" w:hAnsi="Times New Roman" w:eastAsia="宋体" w:cs="Times New Roman"/>
                <w:i w:val="0"/>
                <w:iCs w:val="0"/>
                <w:color w:val="000000"/>
                <w:kern w:val="0"/>
                <w:sz w:val="21"/>
                <w:szCs w:val="21"/>
                <w:u w:val="none"/>
                <w:lang w:val="en-US" w:eastAsia="zh-CN" w:bidi="ar"/>
              </w:rPr>
              <w:t>00</w:t>
            </w:r>
          </w:p>
        </w:tc>
        <w:tc>
          <w:tcPr>
            <w:tcW w:w="1587" w:type="dxa"/>
            <w:tcBorders>
              <w:top w:val="nil"/>
            </w:tcBorders>
            <w:vAlign w:val="center"/>
          </w:tcPr>
          <w:p w14:paraId="7E3775A4">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 xml:space="preserve">24.24 </w:t>
            </w:r>
          </w:p>
        </w:tc>
        <w:tc>
          <w:tcPr>
            <w:tcW w:w="770" w:type="dxa"/>
            <w:tcBorders>
              <w:top w:val="nil"/>
            </w:tcBorders>
            <w:vAlign w:val="center"/>
          </w:tcPr>
          <w:p w14:paraId="050CE844">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&lt;0.01</w:t>
            </w:r>
          </w:p>
        </w:tc>
      </w:tr>
      <w:tr w14:paraId="12897C32">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2" w:hRule="atLeast"/>
        </w:trPr>
        <w:tc>
          <w:tcPr>
            <w:tcW w:w="1162" w:type="dxa"/>
            <w:vMerge w:val="continue"/>
            <w:vAlign w:val="center"/>
          </w:tcPr>
          <w:p w14:paraId="57B870FA">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p>
        </w:tc>
        <w:tc>
          <w:tcPr>
            <w:tcW w:w="1624" w:type="dxa"/>
            <w:vAlign w:val="center"/>
          </w:tcPr>
          <w:p w14:paraId="07143469">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SKC法</w:t>
            </w:r>
          </w:p>
        </w:tc>
        <w:tc>
          <w:tcPr>
            <w:tcW w:w="723" w:type="dxa"/>
            <w:vAlign w:val="bottom"/>
          </w:tcPr>
          <w:p w14:paraId="55BD1513">
            <w:pPr>
              <w:keepNext w:val="0"/>
              <w:keepLines w:val="0"/>
              <w:widowControl/>
              <w:suppressLineNumbers w:val="0"/>
              <w:spacing w:before="0" w:beforeAutospacing="0" w:after="0" w:afterAutospacing="0" w:line="240" w:lineRule="auto"/>
              <w:ind w:left="0" w:right="0"/>
              <w:jc w:val="center"/>
              <w:textAlignment w:val="bottom"/>
              <w:rPr>
                <w:rFonts w:hint="default" w:ascii="Times New Roman" w:hAnsi="Times New Roman" w:eastAsia="仿宋" w:cs="Times New Roman"/>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44</w:t>
            </w:r>
          </w:p>
        </w:tc>
        <w:tc>
          <w:tcPr>
            <w:tcW w:w="1207" w:type="dxa"/>
            <w:vAlign w:val="bottom"/>
          </w:tcPr>
          <w:p w14:paraId="778F06C0">
            <w:pPr>
              <w:keepNext w:val="0"/>
              <w:keepLines w:val="0"/>
              <w:widowControl/>
              <w:suppressLineNumbers w:val="0"/>
              <w:spacing w:before="0" w:beforeAutospacing="0" w:after="0" w:afterAutospacing="0" w:line="240" w:lineRule="auto"/>
              <w:ind w:left="0" w:right="0"/>
              <w:jc w:val="center"/>
              <w:textAlignment w:val="bottom"/>
              <w:rPr>
                <w:rFonts w:hint="default" w:ascii="Times New Roman" w:hAnsi="Times New Roman" w:eastAsia="仿宋" w:cs="Times New Roman"/>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14</w:t>
            </w:r>
          </w:p>
        </w:tc>
        <w:tc>
          <w:tcPr>
            <w:tcW w:w="1449" w:type="dxa"/>
            <w:vAlign w:val="bottom"/>
          </w:tcPr>
          <w:p w14:paraId="47452686">
            <w:pPr>
              <w:keepNext w:val="0"/>
              <w:keepLines w:val="0"/>
              <w:widowControl/>
              <w:suppressLineNumbers w:val="0"/>
              <w:spacing w:before="0" w:beforeAutospacing="0" w:after="0" w:afterAutospacing="0" w:line="240" w:lineRule="auto"/>
              <w:ind w:left="0" w:right="0"/>
              <w:jc w:val="center"/>
              <w:textAlignment w:val="bottom"/>
              <w:rPr>
                <w:rFonts w:hint="default" w:ascii="Times New Roman" w:hAnsi="Times New Roman" w:eastAsia="仿宋" w:cs="Times New Roman"/>
                <w:kern w:val="0"/>
                <w:sz w:val="21"/>
                <w:szCs w:val="21"/>
                <w:lang w:val="en-US"/>
              </w:rPr>
            </w:pPr>
            <w:r>
              <w:rPr>
                <w:rFonts w:hint="eastAsia" w:ascii="Times New Roman" w:hAnsi="Times New Roman" w:eastAsia="宋体" w:cs="Times New Roman"/>
                <w:i w:val="0"/>
                <w:iCs w:val="0"/>
                <w:color w:val="000000"/>
                <w:kern w:val="0"/>
                <w:sz w:val="21"/>
                <w:szCs w:val="21"/>
                <w:u w:val="none"/>
                <w:lang w:val="en-US" w:eastAsia="zh-CN" w:bidi="ar"/>
              </w:rPr>
              <w:t>30</w:t>
            </w:r>
          </w:p>
        </w:tc>
        <w:tc>
          <w:tcPr>
            <w:tcW w:w="1587" w:type="dxa"/>
            <w:vAlign w:val="center"/>
          </w:tcPr>
          <w:p w14:paraId="5B40D523">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 xml:space="preserve">31.82 </w:t>
            </w:r>
          </w:p>
        </w:tc>
        <w:tc>
          <w:tcPr>
            <w:tcW w:w="770" w:type="dxa"/>
            <w:vAlign w:val="center"/>
          </w:tcPr>
          <w:p w14:paraId="3B7B0A2F">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&lt;0.01</w:t>
            </w:r>
          </w:p>
        </w:tc>
      </w:tr>
    </w:tbl>
    <w:p w14:paraId="49B20680">
      <w:pPr>
        <w:spacing w:line="240" w:lineRule="auto"/>
        <w:jc w:val="center"/>
        <w:rPr>
          <w:rFonts w:hint="eastAsia" w:ascii="Times New Roman" w:hAnsi="Times New Roman" w:eastAsia="仿宋" w:cs="Times New Roman"/>
          <w:b/>
          <w:sz w:val="24"/>
          <w:szCs w:val="24"/>
        </w:rPr>
      </w:pPr>
      <w:r>
        <w:rPr>
          <w:rFonts w:hint="eastAsia" w:ascii="Times New Roman" w:hAnsi="Times New Roman" w:eastAsia="仿宋" w:cs="Times New Roman"/>
          <w:sz w:val="24"/>
          <w:szCs w:val="24"/>
        </w:rPr>
        <w:t>表</w:t>
      </w:r>
      <w:r>
        <w:rPr>
          <w:rFonts w:hint="eastAsia" w:ascii="Times New Roman" w:hAnsi="Times New Roman" w:eastAsia="仿宋" w:cs="Times New Roman"/>
          <w:sz w:val="24"/>
          <w:szCs w:val="24"/>
          <w:lang w:val="en-US" w:eastAsia="zh-CN"/>
        </w:rPr>
        <w:t>8</w:t>
      </w:r>
      <w:r>
        <w:rPr>
          <w:rFonts w:hint="eastAsia" w:ascii="Times New Roman" w:hAnsi="Times New Roman" w:eastAsia="仿宋" w:cs="Times New Roman"/>
          <w:sz w:val="24"/>
          <w:szCs w:val="24"/>
        </w:rPr>
        <w:t>三种方法</w:t>
      </w:r>
      <w:r>
        <w:rPr>
          <w:rFonts w:hint="eastAsia" w:ascii="Times New Roman" w:hAnsi="Times New Roman" w:eastAsia="仿宋" w:cs="Times New Roman"/>
          <w:sz w:val="24"/>
          <w:szCs w:val="24"/>
          <w:lang w:val="en-US" w:eastAsia="zh-CN"/>
        </w:rPr>
        <w:t>夏季</w:t>
      </w:r>
      <w:r>
        <w:rPr>
          <w:rFonts w:hint="eastAsia" w:ascii="Times New Roman" w:hAnsi="Times New Roman" w:eastAsia="仿宋" w:cs="Times New Roman"/>
          <w:sz w:val="24"/>
          <w:szCs w:val="24"/>
        </w:rPr>
        <w:t>采集样品</w:t>
      </w:r>
      <w:r>
        <w:rPr>
          <w:rFonts w:hint="eastAsia" w:ascii="Times New Roman" w:hAnsi="Times New Roman" w:eastAsia="仿宋" w:cs="Times New Roman"/>
          <w:sz w:val="24"/>
          <w:szCs w:val="24"/>
          <w:lang w:val="en-US" w:eastAsia="zh-CN"/>
        </w:rPr>
        <w:t>细菌总数</w:t>
      </w:r>
      <w:r>
        <w:rPr>
          <w:rFonts w:hint="eastAsia" w:ascii="Times New Roman" w:hAnsi="Times New Roman" w:eastAsia="仿宋" w:cs="Times New Roman"/>
          <w:sz w:val="24"/>
          <w:szCs w:val="24"/>
        </w:rPr>
        <w:t>结果</w:t>
      </w:r>
      <w:r>
        <w:rPr>
          <w:rFonts w:hint="eastAsia" w:ascii="Times New Roman" w:hAnsi="Times New Roman" w:eastAsia="仿宋" w:cs="Times New Roman"/>
          <w:sz w:val="24"/>
          <w:szCs w:val="24"/>
          <w:lang w:val="en-US" w:eastAsia="zh-CN"/>
        </w:rPr>
        <w:t>超标</w:t>
      </w:r>
      <w:r>
        <w:rPr>
          <w:rFonts w:hint="eastAsia" w:ascii="Times New Roman" w:hAnsi="Times New Roman" w:eastAsia="仿宋" w:cs="Times New Roman"/>
          <w:sz w:val="24"/>
          <w:szCs w:val="24"/>
        </w:rPr>
        <w:t>率卡方检验</w:t>
      </w:r>
    </w:p>
    <w:tbl>
      <w:tblPr>
        <w:tblStyle w:val="26"/>
        <w:tblW w:w="5001" w:type="pct"/>
        <w:tblInd w:w="0" w:type="dxa"/>
        <w:tblBorders>
          <w:top w:val="single" w:color="auto" w:sz="8" w:space="0"/>
          <w:left w:val="none" w:color="auto" w:sz="0" w:space="0"/>
          <w:bottom w:val="single" w:color="auto" w:sz="8" w:space="0"/>
          <w:right w:val="none" w:color="auto" w:sz="0" w:space="0"/>
          <w:insideH w:val="none" w:color="auto" w:sz="0" w:space="0"/>
          <w:insideV w:val="none" w:color="auto" w:sz="0" w:space="0"/>
        </w:tblBorders>
        <w:tblLayout w:type="autofit"/>
        <w:tblCellMar>
          <w:top w:w="0" w:type="dxa"/>
          <w:left w:w="28" w:type="dxa"/>
          <w:bottom w:w="0" w:type="dxa"/>
          <w:right w:w="28" w:type="dxa"/>
        </w:tblCellMar>
      </w:tblPr>
      <w:tblGrid>
        <w:gridCol w:w="1385"/>
        <w:gridCol w:w="902"/>
        <w:gridCol w:w="1306"/>
        <w:gridCol w:w="1306"/>
        <w:gridCol w:w="1492"/>
        <w:gridCol w:w="1300"/>
        <w:gridCol w:w="673"/>
      </w:tblGrid>
      <w:tr w14:paraId="5A90B6A7">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28" w:type="dxa"/>
            <w:bottom w:w="0" w:type="dxa"/>
            <w:right w:w="28" w:type="dxa"/>
          </w:tblCellMar>
        </w:tblPrEx>
        <w:trPr>
          <w:trHeight w:val="465" w:hRule="atLeast"/>
        </w:trPr>
        <w:tc>
          <w:tcPr>
            <w:tcW w:w="828" w:type="pct"/>
            <w:tcBorders>
              <w:top w:val="single" w:color="auto" w:sz="8" w:space="0"/>
              <w:bottom w:val="single" w:color="auto" w:sz="6" w:space="0"/>
            </w:tcBorders>
            <w:vAlign w:val="center"/>
          </w:tcPr>
          <w:p w14:paraId="35977669">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指标</w:t>
            </w:r>
          </w:p>
        </w:tc>
        <w:tc>
          <w:tcPr>
            <w:tcW w:w="539" w:type="pct"/>
            <w:tcBorders>
              <w:top w:val="single" w:color="auto" w:sz="8" w:space="0"/>
              <w:bottom w:val="single" w:color="auto" w:sz="6" w:space="0"/>
            </w:tcBorders>
            <w:vAlign w:val="center"/>
          </w:tcPr>
          <w:p w14:paraId="30D81090">
            <w:pPr>
              <w:keepNext w:val="0"/>
              <w:keepLines w:val="0"/>
              <w:suppressLineNumbers w:val="0"/>
              <w:spacing w:before="0" w:beforeAutospacing="0" w:after="0" w:afterAutospacing="0" w:line="240" w:lineRule="auto"/>
              <w:ind w:left="0" w:right="0"/>
              <w:jc w:val="center"/>
              <w:rPr>
                <w:rFonts w:hint="eastAsia" w:ascii="Times New Roman" w:hAnsi="Times New Roman" w:eastAsia="仿宋" w:cs="Times New Roman"/>
                <w:kern w:val="0"/>
                <w:sz w:val="21"/>
                <w:szCs w:val="21"/>
                <w:lang w:eastAsia="zh-CN"/>
              </w:rPr>
            </w:pPr>
            <w:r>
              <w:rPr>
                <w:rFonts w:hint="eastAsia" w:ascii="Times New Roman" w:hAnsi="Times New Roman" w:eastAsia="仿宋" w:cs="Times New Roman"/>
                <w:kern w:val="0"/>
                <w:sz w:val="21"/>
                <w:szCs w:val="21"/>
                <w:lang w:val="en-US" w:eastAsia="zh-CN"/>
              </w:rPr>
              <w:t>季节</w:t>
            </w:r>
          </w:p>
        </w:tc>
        <w:tc>
          <w:tcPr>
            <w:tcW w:w="781" w:type="pct"/>
            <w:tcBorders>
              <w:top w:val="single" w:color="auto" w:sz="8" w:space="0"/>
              <w:bottom w:val="single" w:color="auto" w:sz="6" w:space="0"/>
            </w:tcBorders>
            <w:vAlign w:val="center"/>
          </w:tcPr>
          <w:p w14:paraId="4E8CC4F5">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例数</w:t>
            </w:r>
          </w:p>
        </w:tc>
        <w:tc>
          <w:tcPr>
            <w:tcW w:w="1308" w:type="dxa"/>
            <w:tcBorders>
              <w:top w:val="single" w:color="auto" w:sz="8" w:space="0"/>
              <w:bottom w:val="single" w:color="auto" w:sz="6" w:space="0"/>
            </w:tcBorders>
            <w:vAlign w:val="center"/>
          </w:tcPr>
          <w:p w14:paraId="49AB331B">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eastAsia" w:ascii="Times New Roman" w:hAnsi="Times New Roman" w:eastAsia="仿宋" w:cs="Times New Roman"/>
                <w:kern w:val="0"/>
                <w:sz w:val="22"/>
                <w:szCs w:val="20"/>
              </w:rPr>
              <w:t>超标例数</w:t>
            </w:r>
          </w:p>
        </w:tc>
        <w:tc>
          <w:tcPr>
            <w:tcW w:w="1485" w:type="dxa"/>
            <w:tcBorders>
              <w:top w:val="single" w:color="auto" w:sz="8" w:space="0"/>
              <w:bottom w:val="single" w:color="auto" w:sz="6" w:space="0"/>
            </w:tcBorders>
            <w:vAlign w:val="center"/>
          </w:tcPr>
          <w:p w14:paraId="5A41DCD3">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eastAsia" w:ascii="Times New Roman" w:hAnsi="Times New Roman" w:eastAsia="仿宋" w:cs="Times New Roman"/>
                <w:kern w:val="0"/>
                <w:sz w:val="22"/>
                <w:szCs w:val="20"/>
              </w:rPr>
              <w:t>不超标例数</w:t>
            </w:r>
          </w:p>
        </w:tc>
        <w:tc>
          <w:tcPr>
            <w:tcW w:w="777" w:type="pct"/>
            <w:tcBorders>
              <w:top w:val="single" w:color="auto" w:sz="8" w:space="0"/>
              <w:bottom w:val="single" w:color="auto" w:sz="6" w:space="0"/>
            </w:tcBorders>
            <w:vAlign w:val="center"/>
          </w:tcPr>
          <w:p w14:paraId="62ABC587">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eastAsia" w:ascii="Times New Roman" w:hAnsi="Times New Roman" w:eastAsia="仿宋" w:cs="Times New Roman"/>
                <w:kern w:val="0"/>
                <w:sz w:val="21"/>
                <w:szCs w:val="21"/>
                <w:lang w:val="en-US" w:eastAsia="zh-CN"/>
              </w:rPr>
              <w:t>超标</w:t>
            </w:r>
            <w:r>
              <w:rPr>
                <w:rFonts w:hint="default" w:ascii="Times New Roman" w:hAnsi="Times New Roman" w:eastAsia="仿宋" w:cs="Times New Roman"/>
                <w:kern w:val="0"/>
                <w:sz w:val="21"/>
                <w:szCs w:val="21"/>
              </w:rPr>
              <w:t>率（%）</w:t>
            </w:r>
          </w:p>
        </w:tc>
        <w:tc>
          <w:tcPr>
            <w:tcW w:w="402" w:type="pct"/>
            <w:tcBorders>
              <w:top w:val="single" w:color="auto" w:sz="8" w:space="0"/>
              <w:bottom w:val="single" w:color="auto" w:sz="6" w:space="0"/>
            </w:tcBorders>
            <w:vAlign w:val="center"/>
          </w:tcPr>
          <w:p w14:paraId="5C23ABF3">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i/>
                <w:iCs/>
                <w:kern w:val="0"/>
                <w:sz w:val="21"/>
                <w:szCs w:val="21"/>
              </w:rPr>
              <w:t>P</w:t>
            </w:r>
            <w:r>
              <w:rPr>
                <w:rFonts w:hint="default" w:ascii="Times New Roman" w:hAnsi="Times New Roman" w:eastAsia="仿宋" w:cs="Times New Roman"/>
                <w:kern w:val="0"/>
                <w:sz w:val="21"/>
                <w:szCs w:val="21"/>
              </w:rPr>
              <w:t>值</w:t>
            </w:r>
          </w:p>
        </w:tc>
      </w:tr>
      <w:tr w14:paraId="78A31232">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28" w:type="dxa"/>
            <w:bottom w:w="0" w:type="dxa"/>
            <w:right w:w="28" w:type="dxa"/>
          </w:tblCellMar>
        </w:tblPrEx>
        <w:trPr>
          <w:trHeight w:val="340" w:hRule="atLeast"/>
        </w:trPr>
        <w:tc>
          <w:tcPr>
            <w:tcW w:w="828" w:type="pct"/>
            <w:vMerge w:val="restart"/>
            <w:tcBorders>
              <w:top w:val="single" w:color="auto" w:sz="6" w:space="0"/>
            </w:tcBorders>
          </w:tcPr>
          <w:p w14:paraId="3E618385">
            <w:pPr>
              <w:keepNext w:val="0"/>
              <w:keepLines w:val="0"/>
              <w:suppressLineNumbers w:val="0"/>
              <w:spacing w:before="0" w:beforeAutospacing="0" w:after="0" w:afterAutospacing="0" w:line="240" w:lineRule="auto"/>
              <w:ind w:left="0" w:right="0"/>
              <w:rPr>
                <w:rFonts w:hint="eastAsia" w:ascii="Times New Roman" w:hAnsi="Times New Roman" w:eastAsia="仿宋" w:cs="Times New Roman"/>
                <w:kern w:val="0"/>
                <w:sz w:val="21"/>
                <w:szCs w:val="21"/>
                <w:lang w:eastAsia="zh-CN"/>
              </w:rPr>
            </w:pPr>
            <w:r>
              <w:rPr>
                <w:rFonts w:hint="eastAsia" w:ascii="Times New Roman" w:hAnsi="Times New Roman" w:eastAsia="仿宋" w:cs="Times New Roman"/>
                <w:kern w:val="0"/>
                <w:sz w:val="21"/>
                <w:szCs w:val="21"/>
                <w:lang w:eastAsia="zh-CN"/>
              </w:rPr>
              <w:t>大流量</w:t>
            </w:r>
          </w:p>
        </w:tc>
        <w:tc>
          <w:tcPr>
            <w:tcW w:w="539" w:type="pct"/>
            <w:tcBorders>
              <w:top w:val="single" w:color="auto" w:sz="6" w:space="0"/>
            </w:tcBorders>
            <w:vAlign w:val="center"/>
          </w:tcPr>
          <w:p w14:paraId="2C51B7D6">
            <w:pPr>
              <w:keepNext w:val="0"/>
              <w:keepLines w:val="0"/>
              <w:suppressLineNumbers w:val="0"/>
              <w:spacing w:before="0" w:beforeAutospacing="0" w:after="0" w:afterAutospacing="0" w:line="240" w:lineRule="auto"/>
              <w:ind w:left="0" w:right="0"/>
              <w:jc w:val="center"/>
              <w:rPr>
                <w:rFonts w:hint="eastAsia" w:ascii="Times New Roman" w:hAnsi="Times New Roman" w:eastAsia="仿宋" w:cs="Times New Roman"/>
                <w:kern w:val="0"/>
                <w:sz w:val="21"/>
                <w:szCs w:val="21"/>
                <w:lang w:eastAsia="zh-CN"/>
              </w:rPr>
            </w:pPr>
            <w:r>
              <w:rPr>
                <w:rFonts w:hint="eastAsia" w:ascii="Times New Roman" w:hAnsi="Times New Roman" w:eastAsia="仿宋" w:cs="Times New Roman"/>
                <w:kern w:val="0"/>
                <w:sz w:val="21"/>
                <w:szCs w:val="21"/>
                <w:lang w:val="en-US" w:eastAsia="zh-CN"/>
              </w:rPr>
              <w:t>夏</w:t>
            </w:r>
          </w:p>
        </w:tc>
        <w:tc>
          <w:tcPr>
            <w:tcW w:w="781" w:type="pct"/>
            <w:tcBorders>
              <w:top w:val="single" w:color="auto" w:sz="6" w:space="0"/>
            </w:tcBorders>
            <w:vAlign w:val="center"/>
          </w:tcPr>
          <w:p w14:paraId="3E8E7DEE">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120</w:t>
            </w:r>
          </w:p>
        </w:tc>
        <w:tc>
          <w:tcPr>
            <w:tcW w:w="1306" w:type="dxa"/>
            <w:tcBorders>
              <w:top w:val="single" w:color="auto" w:sz="6" w:space="0"/>
            </w:tcBorders>
            <w:vAlign w:val="center"/>
          </w:tcPr>
          <w:p w14:paraId="12F27ED2">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eastAsia" w:ascii="Times New Roman" w:hAnsi="Times New Roman" w:eastAsia="仿宋" w:cs="Times New Roman"/>
                <w:kern w:val="0"/>
                <w:sz w:val="21"/>
                <w:szCs w:val="21"/>
                <w:lang w:val="en-US" w:eastAsia="zh-CN"/>
              </w:rPr>
              <w:t>0</w:t>
            </w:r>
          </w:p>
        </w:tc>
        <w:tc>
          <w:tcPr>
            <w:tcW w:w="1485" w:type="dxa"/>
            <w:tcBorders>
              <w:top w:val="single" w:color="auto" w:sz="6" w:space="0"/>
            </w:tcBorders>
            <w:vAlign w:val="center"/>
          </w:tcPr>
          <w:p w14:paraId="34A9DD6C">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120</w:t>
            </w:r>
          </w:p>
        </w:tc>
        <w:tc>
          <w:tcPr>
            <w:tcW w:w="1301" w:type="dxa"/>
            <w:tcBorders>
              <w:top w:val="single" w:color="auto" w:sz="6" w:space="0"/>
            </w:tcBorders>
            <w:vAlign w:val="bottom"/>
          </w:tcPr>
          <w:p w14:paraId="7E8BA27D">
            <w:pPr>
              <w:keepNext w:val="0"/>
              <w:keepLines w:val="0"/>
              <w:suppressLineNumbers w:val="0"/>
              <w:spacing w:before="0" w:beforeAutospacing="0" w:after="0" w:afterAutospacing="0" w:line="240" w:lineRule="auto"/>
              <w:ind w:left="0" w:right="0"/>
              <w:jc w:val="center"/>
              <w:rPr>
                <w:rFonts w:hint="eastAsia" w:ascii="Times New Roman" w:hAnsi="Times New Roman" w:eastAsia="仿宋" w:cs="Times New Roman"/>
                <w:kern w:val="0"/>
                <w:sz w:val="21"/>
                <w:szCs w:val="21"/>
                <w:lang w:val="en-US" w:eastAsia="zh-CN"/>
              </w:rPr>
            </w:pPr>
            <w:r>
              <w:rPr>
                <w:rFonts w:hint="default" w:ascii="Times New Roman" w:hAnsi="Times New Roman" w:eastAsia="仿宋" w:cs="Times New Roman"/>
                <w:kern w:val="0"/>
                <w:sz w:val="21"/>
                <w:szCs w:val="21"/>
                <w:lang w:val="en-US" w:eastAsia="zh-CN"/>
              </w:rPr>
              <w:t xml:space="preserve">0.00 </w:t>
            </w:r>
          </w:p>
        </w:tc>
        <w:tc>
          <w:tcPr>
            <w:tcW w:w="402" w:type="pct"/>
            <w:tcBorders>
              <w:top w:val="single" w:color="auto" w:sz="6" w:space="0"/>
            </w:tcBorders>
            <w:vAlign w:val="center"/>
          </w:tcPr>
          <w:p w14:paraId="27B04A07">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highlight w:val="yellow"/>
              </w:rPr>
            </w:pPr>
          </w:p>
        </w:tc>
      </w:tr>
      <w:tr w14:paraId="20486A5C">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28" w:type="dxa"/>
            <w:bottom w:w="0" w:type="dxa"/>
            <w:right w:w="28" w:type="dxa"/>
          </w:tblCellMar>
        </w:tblPrEx>
        <w:trPr>
          <w:trHeight w:val="340" w:hRule="atLeast"/>
        </w:trPr>
        <w:tc>
          <w:tcPr>
            <w:tcW w:w="828" w:type="pct"/>
            <w:vMerge w:val="continue"/>
            <w:vAlign w:val="center"/>
          </w:tcPr>
          <w:p w14:paraId="6C1A2D4E">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p>
        </w:tc>
        <w:tc>
          <w:tcPr>
            <w:tcW w:w="539" w:type="pct"/>
            <w:tcBorders>
              <w:bottom w:val="single" w:color="auto" w:sz="4" w:space="0"/>
            </w:tcBorders>
            <w:vAlign w:val="center"/>
          </w:tcPr>
          <w:p w14:paraId="209C8591">
            <w:pPr>
              <w:keepNext w:val="0"/>
              <w:keepLines w:val="0"/>
              <w:suppressLineNumbers w:val="0"/>
              <w:spacing w:before="0" w:beforeAutospacing="0" w:after="0" w:afterAutospacing="0" w:line="240" w:lineRule="auto"/>
              <w:ind w:left="0" w:right="0"/>
              <w:jc w:val="center"/>
              <w:rPr>
                <w:rFonts w:hint="eastAsia" w:ascii="Times New Roman" w:hAnsi="Times New Roman" w:eastAsia="仿宋" w:cs="Times New Roman"/>
                <w:kern w:val="0"/>
                <w:sz w:val="21"/>
                <w:szCs w:val="21"/>
                <w:lang w:eastAsia="zh-CN"/>
              </w:rPr>
            </w:pPr>
            <w:r>
              <w:rPr>
                <w:rFonts w:hint="eastAsia" w:ascii="Times New Roman" w:hAnsi="Times New Roman" w:eastAsia="仿宋" w:cs="Times New Roman"/>
                <w:kern w:val="0"/>
                <w:sz w:val="21"/>
                <w:szCs w:val="21"/>
                <w:lang w:val="en-US" w:eastAsia="zh-CN"/>
              </w:rPr>
              <w:t>冬</w:t>
            </w:r>
          </w:p>
        </w:tc>
        <w:tc>
          <w:tcPr>
            <w:tcW w:w="781" w:type="pct"/>
            <w:tcBorders>
              <w:bottom w:val="single" w:color="auto" w:sz="4" w:space="0"/>
            </w:tcBorders>
            <w:vAlign w:val="center"/>
          </w:tcPr>
          <w:p w14:paraId="1E1E3C5C">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132</w:t>
            </w:r>
          </w:p>
        </w:tc>
        <w:tc>
          <w:tcPr>
            <w:tcW w:w="1306" w:type="dxa"/>
            <w:tcBorders>
              <w:bottom w:val="single" w:color="auto" w:sz="4" w:space="0"/>
            </w:tcBorders>
            <w:vAlign w:val="center"/>
          </w:tcPr>
          <w:p w14:paraId="3BAAF6D1">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0</w:t>
            </w:r>
          </w:p>
        </w:tc>
        <w:tc>
          <w:tcPr>
            <w:tcW w:w="1485" w:type="dxa"/>
            <w:tcBorders>
              <w:bottom w:val="single" w:color="auto" w:sz="4" w:space="0"/>
            </w:tcBorders>
            <w:vAlign w:val="center"/>
          </w:tcPr>
          <w:p w14:paraId="17625EA9">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132</w:t>
            </w:r>
          </w:p>
        </w:tc>
        <w:tc>
          <w:tcPr>
            <w:tcW w:w="1301" w:type="dxa"/>
            <w:tcBorders>
              <w:bottom w:val="single" w:color="auto" w:sz="4" w:space="0"/>
            </w:tcBorders>
            <w:vAlign w:val="bottom"/>
          </w:tcPr>
          <w:p w14:paraId="6499761A">
            <w:pPr>
              <w:keepNext w:val="0"/>
              <w:keepLines w:val="0"/>
              <w:suppressLineNumbers w:val="0"/>
              <w:spacing w:before="0" w:beforeAutospacing="0" w:after="0" w:afterAutospacing="0" w:line="240" w:lineRule="auto"/>
              <w:ind w:left="0" w:right="0"/>
              <w:jc w:val="center"/>
              <w:rPr>
                <w:rFonts w:hint="eastAsia" w:ascii="Times New Roman" w:hAnsi="Times New Roman" w:eastAsia="仿宋" w:cs="Times New Roman"/>
                <w:kern w:val="0"/>
                <w:sz w:val="21"/>
                <w:szCs w:val="21"/>
                <w:lang w:val="en-US" w:eastAsia="zh-CN"/>
              </w:rPr>
            </w:pPr>
            <w:r>
              <w:rPr>
                <w:rFonts w:hint="default" w:ascii="Times New Roman" w:hAnsi="Times New Roman" w:eastAsia="仿宋" w:cs="Times New Roman"/>
                <w:kern w:val="0"/>
                <w:sz w:val="21"/>
                <w:szCs w:val="21"/>
                <w:lang w:val="en-US" w:eastAsia="zh-CN"/>
              </w:rPr>
              <w:t xml:space="preserve">0.00 </w:t>
            </w:r>
          </w:p>
        </w:tc>
        <w:tc>
          <w:tcPr>
            <w:tcW w:w="402" w:type="pct"/>
            <w:tcBorders>
              <w:bottom w:val="single" w:color="auto" w:sz="4" w:space="0"/>
            </w:tcBorders>
            <w:vAlign w:val="center"/>
          </w:tcPr>
          <w:p w14:paraId="6F4DAE19">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highlight w:val="yellow"/>
                <w:lang w:val="en-US" w:eastAsia="zh-CN"/>
              </w:rPr>
            </w:pPr>
            <w:r>
              <w:rPr>
                <w:rFonts w:hint="eastAsia" w:ascii="Times New Roman" w:hAnsi="Times New Roman" w:eastAsia="仿宋" w:cs="Times New Roman"/>
                <w:kern w:val="0"/>
                <w:sz w:val="21"/>
                <w:szCs w:val="21"/>
                <w:highlight w:val="none"/>
                <w:lang w:val="en-US" w:eastAsia="zh-CN"/>
              </w:rPr>
              <w:t>&gt;0.05</w:t>
            </w:r>
          </w:p>
        </w:tc>
      </w:tr>
      <w:tr w14:paraId="12151916">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28" w:type="dxa"/>
            <w:bottom w:w="0" w:type="dxa"/>
            <w:right w:w="28" w:type="dxa"/>
          </w:tblCellMar>
        </w:tblPrEx>
        <w:trPr>
          <w:trHeight w:val="340" w:hRule="atLeast"/>
        </w:trPr>
        <w:tc>
          <w:tcPr>
            <w:tcW w:w="828" w:type="pct"/>
            <w:vMerge w:val="restart"/>
            <w:vAlign w:val="top"/>
          </w:tcPr>
          <w:p w14:paraId="42C0D728">
            <w:pPr>
              <w:keepNext w:val="0"/>
              <w:keepLines w:val="0"/>
              <w:suppressLineNumbers w:val="0"/>
              <w:spacing w:before="0" w:beforeAutospacing="0" w:after="0" w:afterAutospacing="0" w:line="240" w:lineRule="auto"/>
              <w:ind w:left="0" w:right="0"/>
              <w:jc w:val="both"/>
              <w:rPr>
                <w:rFonts w:hint="default" w:ascii="Times New Roman" w:hAnsi="Times New Roman" w:eastAsia="仿宋" w:cs="Times New Roman"/>
                <w:kern w:val="0"/>
                <w:sz w:val="21"/>
                <w:szCs w:val="21"/>
              </w:rPr>
            </w:pPr>
            <w:r>
              <w:rPr>
                <w:rFonts w:hint="eastAsia" w:ascii="Times New Roman" w:hAnsi="Times New Roman" w:eastAsia="仿宋" w:cs="Times New Roman"/>
                <w:kern w:val="0"/>
                <w:sz w:val="21"/>
                <w:szCs w:val="21"/>
                <w:lang w:eastAsia="zh-CN"/>
              </w:rPr>
              <w:t>LS</w:t>
            </w:r>
          </w:p>
        </w:tc>
        <w:tc>
          <w:tcPr>
            <w:tcW w:w="539" w:type="pct"/>
            <w:tcBorders>
              <w:top w:val="single" w:color="auto" w:sz="4" w:space="0"/>
              <w:bottom w:val="nil"/>
            </w:tcBorders>
            <w:vAlign w:val="center"/>
          </w:tcPr>
          <w:p w14:paraId="6F3045EF">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eastAsia" w:ascii="Times New Roman" w:hAnsi="Times New Roman" w:eastAsia="仿宋" w:cs="Times New Roman"/>
                <w:kern w:val="0"/>
                <w:sz w:val="21"/>
                <w:szCs w:val="21"/>
                <w:lang w:val="en-US" w:eastAsia="zh-CN"/>
              </w:rPr>
              <w:t>夏</w:t>
            </w:r>
          </w:p>
        </w:tc>
        <w:tc>
          <w:tcPr>
            <w:tcW w:w="781" w:type="pct"/>
            <w:tcBorders>
              <w:top w:val="single" w:color="auto" w:sz="4" w:space="0"/>
              <w:bottom w:val="nil"/>
            </w:tcBorders>
            <w:vAlign w:val="center"/>
          </w:tcPr>
          <w:p w14:paraId="56477EA1">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119</w:t>
            </w:r>
          </w:p>
        </w:tc>
        <w:tc>
          <w:tcPr>
            <w:tcW w:w="781" w:type="pct"/>
            <w:tcBorders>
              <w:top w:val="single" w:color="auto" w:sz="4" w:space="0"/>
              <w:bottom w:val="nil"/>
            </w:tcBorders>
            <w:vAlign w:val="center"/>
          </w:tcPr>
          <w:p w14:paraId="2A433461">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4</w:t>
            </w:r>
          </w:p>
        </w:tc>
        <w:tc>
          <w:tcPr>
            <w:tcW w:w="1485" w:type="dxa"/>
            <w:tcBorders>
              <w:top w:val="single" w:color="auto" w:sz="4" w:space="0"/>
              <w:bottom w:val="nil"/>
            </w:tcBorders>
            <w:vAlign w:val="center"/>
          </w:tcPr>
          <w:p w14:paraId="4050D3FE">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115</w:t>
            </w:r>
          </w:p>
        </w:tc>
        <w:tc>
          <w:tcPr>
            <w:tcW w:w="1301" w:type="dxa"/>
            <w:tcBorders>
              <w:top w:val="single" w:color="auto" w:sz="4" w:space="0"/>
              <w:bottom w:val="nil"/>
            </w:tcBorders>
            <w:vAlign w:val="bottom"/>
          </w:tcPr>
          <w:p w14:paraId="5115FEE4">
            <w:pPr>
              <w:keepNext w:val="0"/>
              <w:keepLines w:val="0"/>
              <w:suppressLineNumbers w:val="0"/>
              <w:spacing w:before="0" w:beforeAutospacing="0" w:after="0" w:afterAutospacing="0" w:line="240" w:lineRule="auto"/>
              <w:ind w:left="0" w:right="0"/>
              <w:jc w:val="center"/>
              <w:rPr>
                <w:rFonts w:hint="eastAsia" w:ascii="Times New Roman" w:hAnsi="Times New Roman" w:eastAsia="仿宋" w:cs="Times New Roman"/>
                <w:kern w:val="0"/>
                <w:sz w:val="21"/>
                <w:szCs w:val="21"/>
                <w:lang w:val="en-US" w:eastAsia="zh-CN"/>
              </w:rPr>
            </w:pPr>
            <w:r>
              <w:rPr>
                <w:rFonts w:hint="default" w:ascii="Times New Roman" w:hAnsi="Times New Roman" w:eastAsia="仿宋" w:cs="Times New Roman"/>
                <w:kern w:val="0"/>
                <w:sz w:val="21"/>
                <w:szCs w:val="21"/>
                <w:lang w:val="en-US" w:eastAsia="zh-CN"/>
              </w:rPr>
              <w:t xml:space="preserve">3.36 </w:t>
            </w:r>
          </w:p>
        </w:tc>
        <w:tc>
          <w:tcPr>
            <w:tcW w:w="402" w:type="pct"/>
            <w:tcBorders>
              <w:top w:val="single" w:color="auto" w:sz="4" w:space="0"/>
              <w:bottom w:val="nil"/>
            </w:tcBorders>
            <w:vAlign w:val="center"/>
          </w:tcPr>
          <w:p w14:paraId="6315BAFC">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highlight w:val="yellow"/>
              </w:rPr>
            </w:pPr>
          </w:p>
        </w:tc>
      </w:tr>
      <w:tr w14:paraId="735E257E">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28" w:type="dxa"/>
            <w:bottom w:w="0" w:type="dxa"/>
            <w:right w:w="28" w:type="dxa"/>
          </w:tblCellMar>
        </w:tblPrEx>
        <w:trPr>
          <w:trHeight w:val="340" w:hRule="atLeast"/>
        </w:trPr>
        <w:tc>
          <w:tcPr>
            <w:tcW w:w="828" w:type="pct"/>
            <w:vMerge w:val="continue"/>
          </w:tcPr>
          <w:p w14:paraId="4DFC3F62">
            <w:pPr>
              <w:keepNext w:val="0"/>
              <w:keepLines w:val="0"/>
              <w:suppressLineNumbers w:val="0"/>
              <w:spacing w:before="0" w:beforeAutospacing="0" w:after="0" w:afterAutospacing="0" w:line="240" w:lineRule="auto"/>
              <w:ind w:left="0" w:right="0"/>
              <w:rPr>
                <w:rFonts w:hint="default" w:ascii="Times New Roman" w:hAnsi="Times New Roman" w:eastAsia="仿宋" w:cs="Times New Roman"/>
                <w:kern w:val="0"/>
                <w:sz w:val="21"/>
                <w:szCs w:val="21"/>
              </w:rPr>
            </w:pPr>
          </w:p>
        </w:tc>
        <w:tc>
          <w:tcPr>
            <w:tcW w:w="539" w:type="pct"/>
            <w:tcBorders>
              <w:top w:val="nil"/>
              <w:bottom w:val="single" w:color="auto" w:sz="4" w:space="0"/>
            </w:tcBorders>
            <w:vAlign w:val="center"/>
          </w:tcPr>
          <w:p w14:paraId="36195C90">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eastAsia" w:ascii="Times New Roman" w:hAnsi="Times New Roman" w:eastAsia="仿宋" w:cs="Times New Roman"/>
                <w:kern w:val="0"/>
                <w:sz w:val="21"/>
                <w:szCs w:val="21"/>
                <w:lang w:val="en-US" w:eastAsia="zh-CN"/>
              </w:rPr>
              <w:t>冬</w:t>
            </w:r>
          </w:p>
        </w:tc>
        <w:tc>
          <w:tcPr>
            <w:tcW w:w="781" w:type="pct"/>
            <w:tcBorders>
              <w:top w:val="nil"/>
              <w:bottom w:val="single" w:color="auto" w:sz="4" w:space="0"/>
            </w:tcBorders>
            <w:vAlign w:val="center"/>
          </w:tcPr>
          <w:p w14:paraId="041856A2">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132</w:t>
            </w:r>
          </w:p>
        </w:tc>
        <w:tc>
          <w:tcPr>
            <w:tcW w:w="781" w:type="pct"/>
            <w:tcBorders>
              <w:top w:val="nil"/>
              <w:bottom w:val="single" w:color="auto" w:sz="4" w:space="0"/>
            </w:tcBorders>
            <w:vAlign w:val="center"/>
          </w:tcPr>
          <w:p w14:paraId="2058D613">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0</w:t>
            </w:r>
          </w:p>
        </w:tc>
        <w:tc>
          <w:tcPr>
            <w:tcW w:w="1485" w:type="dxa"/>
            <w:tcBorders>
              <w:top w:val="nil"/>
              <w:bottom w:val="single" w:color="auto" w:sz="4" w:space="0"/>
            </w:tcBorders>
            <w:vAlign w:val="center"/>
          </w:tcPr>
          <w:p w14:paraId="0FC88E91">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132</w:t>
            </w:r>
          </w:p>
        </w:tc>
        <w:tc>
          <w:tcPr>
            <w:tcW w:w="1301" w:type="dxa"/>
            <w:tcBorders>
              <w:top w:val="nil"/>
              <w:bottom w:val="single" w:color="auto" w:sz="4" w:space="0"/>
            </w:tcBorders>
            <w:vAlign w:val="bottom"/>
          </w:tcPr>
          <w:p w14:paraId="411C429E">
            <w:pPr>
              <w:keepNext w:val="0"/>
              <w:keepLines w:val="0"/>
              <w:suppressLineNumbers w:val="0"/>
              <w:spacing w:before="0" w:beforeAutospacing="0" w:after="0" w:afterAutospacing="0" w:line="240" w:lineRule="auto"/>
              <w:ind w:left="0" w:right="0"/>
              <w:jc w:val="center"/>
              <w:rPr>
                <w:rFonts w:hint="eastAsia" w:ascii="Times New Roman" w:hAnsi="Times New Roman" w:eastAsia="仿宋" w:cs="Times New Roman"/>
                <w:kern w:val="0"/>
                <w:sz w:val="21"/>
                <w:szCs w:val="21"/>
                <w:lang w:val="en-US" w:eastAsia="zh-CN"/>
              </w:rPr>
            </w:pPr>
            <w:r>
              <w:rPr>
                <w:rFonts w:hint="default" w:ascii="Times New Roman" w:hAnsi="Times New Roman" w:eastAsia="仿宋" w:cs="Times New Roman"/>
                <w:kern w:val="0"/>
                <w:sz w:val="21"/>
                <w:szCs w:val="21"/>
                <w:lang w:val="en-US" w:eastAsia="zh-CN"/>
              </w:rPr>
              <w:t xml:space="preserve">0.00 </w:t>
            </w:r>
          </w:p>
        </w:tc>
        <w:tc>
          <w:tcPr>
            <w:tcW w:w="402" w:type="pct"/>
            <w:tcBorders>
              <w:top w:val="nil"/>
              <w:bottom w:val="single" w:color="auto" w:sz="4" w:space="0"/>
            </w:tcBorders>
            <w:vAlign w:val="center"/>
          </w:tcPr>
          <w:p w14:paraId="05A4AA32">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highlight w:val="yellow"/>
              </w:rPr>
            </w:pPr>
            <w:r>
              <w:rPr>
                <w:rFonts w:hint="eastAsia" w:ascii="Times New Roman" w:hAnsi="Times New Roman" w:eastAsia="仿宋" w:cs="Times New Roman"/>
                <w:kern w:val="0"/>
                <w:sz w:val="21"/>
                <w:szCs w:val="21"/>
                <w:lang w:val="en-US" w:eastAsia="zh-CN"/>
              </w:rPr>
              <w:t>&lt;0.05</w:t>
            </w:r>
          </w:p>
        </w:tc>
      </w:tr>
      <w:tr w14:paraId="79E4DE04">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28" w:type="dxa"/>
            <w:bottom w:w="0" w:type="dxa"/>
            <w:right w:w="28" w:type="dxa"/>
          </w:tblCellMar>
        </w:tblPrEx>
        <w:trPr>
          <w:trHeight w:val="380" w:hRule="atLeast"/>
        </w:trPr>
        <w:tc>
          <w:tcPr>
            <w:tcW w:w="828" w:type="pct"/>
            <w:vMerge w:val="restart"/>
            <w:vAlign w:val="top"/>
          </w:tcPr>
          <w:p w14:paraId="1DF7971D">
            <w:pPr>
              <w:keepNext w:val="0"/>
              <w:keepLines w:val="0"/>
              <w:suppressLineNumbers w:val="0"/>
              <w:spacing w:before="0" w:beforeAutospacing="0" w:after="0" w:afterAutospacing="0" w:line="240" w:lineRule="auto"/>
              <w:ind w:left="0" w:right="0"/>
              <w:jc w:val="both"/>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SKC法</w:t>
            </w:r>
          </w:p>
        </w:tc>
        <w:tc>
          <w:tcPr>
            <w:tcW w:w="539" w:type="pct"/>
            <w:tcBorders>
              <w:top w:val="single" w:color="auto" w:sz="4" w:space="0"/>
            </w:tcBorders>
            <w:vAlign w:val="center"/>
          </w:tcPr>
          <w:p w14:paraId="2A27D6D8">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eastAsia" w:ascii="Times New Roman" w:hAnsi="Times New Roman" w:eastAsia="仿宋" w:cs="Times New Roman"/>
                <w:kern w:val="0"/>
                <w:sz w:val="21"/>
                <w:szCs w:val="21"/>
                <w:lang w:val="en-US" w:eastAsia="zh-CN"/>
              </w:rPr>
              <w:t>夏</w:t>
            </w:r>
          </w:p>
        </w:tc>
        <w:tc>
          <w:tcPr>
            <w:tcW w:w="781" w:type="pct"/>
            <w:tcBorders>
              <w:top w:val="single" w:color="auto" w:sz="4" w:space="0"/>
            </w:tcBorders>
            <w:vAlign w:val="center"/>
          </w:tcPr>
          <w:p w14:paraId="2CE5B78D">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40</w:t>
            </w:r>
          </w:p>
        </w:tc>
        <w:tc>
          <w:tcPr>
            <w:tcW w:w="781" w:type="pct"/>
            <w:tcBorders>
              <w:top w:val="single" w:color="auto" w:sz="4" w:space="0"/>
            </w:tcBorders>
            <w:vAlign w:val="center"/>
          </w:tcPr>
          <w:p w14:paraId="4C3B2BBB">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12</w:t>
            </w:r>
          </w:p>
        </w:tc>
        <w:tc>
          <w:tcPr>
            <w:tcW w:w="1485" w:type="dxa"/>
            <w:tcBorders>
              <w:top w:val="single" w:color="auto" w:sz="4" w:space="0"/>
            </w:tcBorders>
            <w:vAlign w:val="center"/>
          </w:tcPr>
          <w:p w14:paraId="5F12501B">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28</w:t>
            </w:r>
          </w:p>
        </w:tc>
        <w:tc>
          <w:tcPr>
            <w:tcW w:w="1301" w:type="dxa"/>
            <w:tcBorders>
              <w:top w:val="single" w:color="auto" w:sz="4" w:space="0"/>
            </w:tcBorders>
            <w:vAlign w:val="bottom"/>
          </w:tcPr>
          <w:p w14:paraId="74400B80">
            <w:pPr>
              <w:keepNext w:val="0"/>
              <w:keepLines w:val="0"/>
              <w:suppressLineNumbers w:val="0"/>
              <w:spacing w:before="0" w:beforeAutospacing="0" w:after="0" w:afterAutospacing="0" w:line="240" w:lineRule="auto"/>
              <w:ind w:left="0" w:right="0"/>
              <w:jc w:val="center"/>
              <w:rPr>
                <w:rFonts w:hint="eastAsia" w:ascii="Times New Roman" w:hAnsi="Times New Roman" w:eastAsia="仿宋" w:cs="Times New Roman"/>
                <w:kern w:val="0"/>
                <w:sz w:val="21"/>
                <w:szCs w:val="21"/>
                <w:lang w:val="en-US" w:eastAsia="zh-CN"/>
              </w:rPr>
            </w:pPr>
            <w:r>
              <w:rPr>
                <w:rFonts w:hint="default" w:ascii="Times New Roman" w:hAnsi="Times New Roman" w:eastAsia="仿宋" w:cs="Times New Roman"/>
                <w:kern w:val="0"/>
                <w:sz w:val="21"/>
                <w:szCs w:val="21"/>
                <w:lang w:val="en-US" w:eastAsia="zh-CN"/>
              </w:rPr>
              <w:t xml:space="preserve">30.00 </w:t>
            </w:r>
          </w:p>
        </w:tc>
        <w:tc>
          <w:tcPr>
            <w:tcW w:w="402" w:type="pct"/>
            <w:tcBorders>
              <w:top w:val="single" w:color="auto" w:sz="4" w:space="0"/>
            </w:tcBorders>
            <w:vAlign w:val="center"/>
          </w:tcPr>
          <w:p w14:paraId="67D65F06">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highlight w:val="yellow"/>
              </w:rPr>
            </w:pPr>
          </w:p>
        </w:tc>
      </w:tr>
      <w:tr w14:paraId="49877CE9">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28" w:type="dxa"/>
            <w:bottom w:w="0" w:type="dxa"/>
            <w:right w:w="28" w:type="dxa"/>
          </w:tblCellMar>
        </w:tblPrEx>
        <w:trPr>
          <w:trHeight w:val="340" w:hRule="atLeast"/>
        </w:trPr>
        <w:tc>
          <w:tcPr>
            <w:tcW w:w="828" w:type="pct"/>
            <w:vMerge w:val="continue"/>
            <w:vAlign w:val="center"/>
          </w:tcPr>
          <w:p w14:paraId="0C593C60">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p>
        </w:tc>
        <w:tc>
          <w:tcPr>
            <w:tcW w:w="539" w:type="pct"/>
            <w:vAlign w:val="center"/>
          </w:tcPr>
          <w:p w14:paraId="3602D3F4">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eastAsia" w:ascii="Times New Roman" w:hAnsi="Times New Roman" w:eastAsia="仿宋" w:cs="Times New Roman"/>
                <w:kern w:val="0"/>
                <w:sz w:val="21"/>
                <w:szCs w:val="21"/>
                <w:lang w:val="en-US" w:eastAsia="zh-CN"/>
              </w:rPr>
              <w:t>冬</w:t>
            </w:r>
          </w:p>
        </w:tc>
        <w:tc>
          <w:tcPr>
            <w:tcW w:w="781" w:type="pct"/>
            <w:vAlign w:val="center"/>
          </w:tcPr>
          <w:p w14:paraId="3718BD2B">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44</w:t>
            </w:r>
          </w:p>
        </w:tc>
        <w:tc>
          <w:tcPr>
            <w:tcW w:w="781" w:type="pct"/>
            <w:vAlign w:val="center"/>
          </w:tcPr>
          <w:p w14:paraId="1707F7C6">
            <w:pPr>
              <w:keepNext w:val="0"/>
              <w:keepLines w:val="0"/>
              <w:suppressLineNumbers w:val="0"/>
              <w:spacing w:before="0" w:beforeAutospacing="0" w:after="0" w:afterAutospacing="0" w:line="240" w:lineRule="auto"/>
              <w:ind w:left="0" w:right="0"/>
              <w:jc w:val="center"/>
              <w:rPr>
                <w:rFonts w:hint="eastAsia"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1</w:t>
            </w:r>
          </w:p>
        </w:tc>
        <w:tc>
          <w:tcPr>
            <w:tcW w:w="1485" w:type="dxa"/>
            <w:vAlign w:val="center"/>
          </w:tcPr>
          <w:p w14:paraId="4EC9BA5F">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43</w:t>
            </w:r>
          </w:p>
        </w:tc>
        <w:tc>
          <w:tcPr>
            <w:tcW w:w="1301" w:type="dxa"/>
            <w:vAlign w:val="bottom"/>
          </w:tcPr>
          <w:p w14:paraId="30C00EE3">
            <w:pPr>
              <w:keepNext w:val="0"/>
              <w:keepLines w:val="0"/>
              <w:suppressLineNumbers w:val="0"/>
              <w:spacing w:before="0" w:beforeAutospacing="0" w:after="0" w:afterAutospacing="0" w:line="240" w:lineRule="auto"/>
              <w:ind w:left="0" w:right="0"/>
              <w:jc w:val="center"/>
              <w:rPr>
                <w:rFonts w:hint="eastAsia" w:ascii="Times New Roman" w:hAnsi="Times New Roman" w:eastAsia="仿宋" w:cs="Times New Roman"/>
                <w:kern w:val="0"/>
                <w:sz w:val="21"/>
                <w:szCs w:val="21"/>
                <w:lang w:val="en-US" w:eastAsia="zh-CN"/>
              </w:rPr>
            </w:pPr>
            <w:r>
              <w:rPr>
                <w:rFonts w:hint="default" w:ascii="Times New Roman" w:hAnsi="Times New Roman" w:eastAsia="仿宋" w:cs="Times New Roman"/>
                <w:kern w:val="0"/>
                <w:sz w:val="21"/>
                <w:szCs w:val="21"/>
                <w:lang w:val="en-US" w:eastAsia="zh-CN"/>
              </w:rPr>
              <w:t xml:space="preserve">2.27 </w:t>
            </w:r>
          </w:p>
        </w:tc>
        <w:tc>
          <w:tcPr>
            <w:tcW w:w="402" w:type="pct"/>
            <w:vAlign w:val="center"/>
          </w:tcPr>
          <w:p w14:paraId="7AE23788">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highlight w:val="yellow"/>
              </w:rPr>
            </w:pPr>
            <w:r>
              <w:rPr>
                <w:rFonts w:hint="eastAsia" w:ascii="Times New Roman" w:hAnsi="Times New Roman" w:eastAsia="仿宋" w:cs="Times New Roman"/>
                <w:kern w:val="0"/>
                <w:sz w:val="21"/>
                <w:szCs w:val="21"/>
                <w:lang w:val="en-US" w:eastAsia="zh-CN"/>
              </w:rPr>
              <w:t>&lt;0.05</w:t>
            </w:r>
          </w:p>
        </w:tc>
      </w:tr>
    </w:tbl>
    <w:p w14:paraId="1F48F2B4">
      <w:pPr>
        <w:spacing w:line="240" w:lineRule="auto"/>
        <w:jc w:val="center"/>
        <w:rPr>
          <w:rFonts w:hint="eastAsia" w:ascii="Times New Roman" w:hAnsi="Times New Roman" w:eastAsia="仿宋" w:cs="Times New Roman"/>
          <w:b/>
          <w:sz w:val="24"/>
          <w:szCs w:val="24"/>
        </w:rPr>
      </w:pPr>
      <w:r>
        <w:rPr>
          <w:rFonts w:hint="eastAsia" w:ascii="Times New Roman" w:hAnsi="Times New Roman" w:eastAsia="仿宋" w:cs="Times New Roman"/>
          <w:sz w:val="24"/>
          <w:szCs w:val="24"/>
        </w:rPr>
        <w:t>表</w:t>
      </w:r>
      <w:r>
        <w:rPr>
          <w:rFonts w:hint="eastAsia" w:ascii="Times New Roman" w:hAnsi="Times New Roman" w:eastAsia="仿宋" w:cs="Times New Roman"/>
          <w:sz w:val="24"/>
          <w:szCs w:val="24"/>
          <w:lang w:val="en-US" w:eastAsia="zh-CN"/>
        </w:rPr>
        <w:t>9</w:t>
      </w:r>
      <w:r>
        <w:rPr>
          <w:rFonts w:hint="eastAsia" w:ascii="Times New Roman" w:hAnsi="Times New Roman" w:eastAsia="仿宋" w:cs="Times New Roman"/>
          <w:sz w:val="24"/>
          <w:szCs w:val="24"/>
        </w:rPr>
        <w:t>三种方法</w:t>
      </w:r>
      <w:r>
        <w:rPr>
          <w:rFonts w:hint="eastAsia" w:ascii="Times New Roman" w:hAnsi="Times New Roman" w:eastAsia="仿宋" w:cs="Times New Roman"/>
          <w:sz w:val="24"/>
          <w:szCs w:val="24"/>
          <w:lang w:val="en-US" w:eastAsia="zh-CN"/>
        </w:rPr>
        <w:t>冬季</w:t>
      </w:r>
      <w:r>
        <w:rPr>
          <w:rFonts w:hint="eastAsia" w:ascii="Times New Roman" w:hAnsi="Times New Roman" w:eastAsia="仿宋" w:cs="Times New Roman"/>
          <w:sz w:val="24"/>
          <w:szCs w:val="24"/>
        </w:rPr>
        <w:t>采集样品</w:t>
      </w:r>
      <w:r>
        <w:rPr>
          <w:rFonts w:hint="eastAsia" w:ascii="Times New Roman" w:hAnsi="Times New Roman" w:eastAsia="仿宋" w:cs="Times New Roman"/>
          <w:sz w:val="24"/>
          <w:szCs w:val="24"/>
          <w:lang w:val="en-US" w:eastAsia="zh-CN"/>
        </w:rPr>
        <w:t>真菌总数</w:t>
      </w:r>
      <w:r>
        <w:rPr>
          <w:rFonts w:hint="eastAsia" w:ascii="Times New Roman" w:hAnsi="Times New Roman" w:eastAsia="仿宋" w:cs="Times New Roman"/>
          <w:sz w:val="24"/>
          <w:szCs w:val="24"/>
        </w:rPr>
        <w:t>结果</w:t>
      </w:r>
      <w:r>
        <w:rPr>
          <w:rFonts w:hint="eastAsia" w:ascii="Times New Roman" w:hAnsi="Times New Roman" w:eastAsia="仿宋" w:cs="Times New Roman"/>
          <w:sz w:val="24"/>
          <w:szCs w:val="24"/>
          <w:lang w:val="en-US" w:eastAsia="zh-CN"/>
        </w:rPr>
        <w:t>超标</w:t>
      </w:r>
      <w:r>
        <w:rPr>
          <w:rFonts w:hint="eastAsia" w:ascii="Times New Roman" w:hAnsi="Times New Roman" w:eastAsia="仿宋" w:cs="Times New Roman"/>
          <w:sz w:val="24"/>
          <w:szCs w:val="24"/>
        </w:rPr>
        <w:t>率卡方检验</w:t>
      </w:r>
    </w:p>
    <w:tbl>
      <w:tblPr>
        <w:tblStyle w:val="26"/>
        <w:tblW w:w="5001" w:type="pct"/>
        <w:tblInd w:w="0" w:type="dxa"/>
        <w:tblBorders>
          <w:top w:val="single" w:color="auto" w:sz="8" w:space="0"/>
          <w:left w:val="none" w:color="auto" w:sz="0" w:space="0"/>
          <w:bottom w:val="single" w:color="auto" w:sz="8" w:space="0"/>
          <w:right w:val="none" w:color="auto" w:sz="0" w:space="0"/>
          <w:insideH w:val="none" w:color="auto" w:sz="0" w:space="0"/>
          <w:insideV w:val="none" w:color="auto" w:sz="0" w:space="0"/>
        </w:tblBorders>
        <w:tblLayout w:type="autofit"/>
        <w:tblCellMar>
          <w:top w:w="0" w:type="dxa"/>
          <w:left w:w="28" w:type="dxa"/>
          <w:bottom w:w="0" w:type="dxa"/>
          <w:right w:w="28" w:type="dxa"/>
        </w:tblCellMar>
      </w:tblPr>
      <w:tblGrid>
        <w:gridCol w:w="1385"/>
        <w:gridCol w:w="902"/>
        <w:gridCol w:w="1306"/>
        <w:gridCol w:w="1306"/>
        <w:gridCol w:w="1492"/>
        <w:gridCol w:w="1300"/>
        <w:gridCol w:w="673"/>
      </w:tblGrid>
      <w:tr w14:paraId="535CCED5">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28" w:type="dxa"/>
            <w:bottom w:w="0" w:type="dxa"/>
            <w:right w:w="28" w:type="dxa"/>
          </w:tblCellMar>
        </w:tblPrEx>
        <w:trPr>
          <w:trHeight w:val="340" w:hRule="atLeast"/>
        </w:trPr>
        <w:tc>
          <w:tcPr>
            <w:tcW w:w="828" w:type="pct"/>
            <w:tcBorders>
              <w:top w:val="single" w:color="auto" w:sz="8" w:space="0"/>
              <w:bottom w:val="single" w:color="auto" w:sz="6" w:space="0"/>
            </w:tcBorders>
            <w:vAlign w:val="center"/>
          </w:tcPr>
          <w:p w14:paraId="2780B118">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指标</w:t>
            </w:r>
          </w:p>
        </w:tc>
        <w:tc>
          <w:tcPr>
            <w:tcW w:w="539" w:type="pct"/>
            <w:tcBorders>
              <w:top w:val="single" w:color="auto" w:sz="8" w:space="0"/>
              <w:bottom w:val="single" w:color="auto" w:sz="6" w:space="0"/>
            </w:tcBorders>
            <w:vAlign w:val="center"/>
          </w:tcPr>
          <w:p w14:paraId="2692B472">
            <w:pPr>
              <w:keepNext w:val="0"/>
              <w:keepLines w:val="0"/>
              <w:suppressLineNumbers w:val="0"/>
              <w:spacing w:before="0" w:beforeAutospacing="0" w:after="0" w:afterAutospacing="0" w:line="240" w:lineRule="auto"/>
              <w:ind w:left="0" w:right="0"/>
              <w:jc w:val="center"/>
              <w:rPr>
                <w:rFonts w:hint="eastAsia" w:ascii="Times New Roman" w:hAnsi="Times New Roman" w:eastAsia="仿宋" w:cs="Times New Roman"/>
                <w:kern w:val="0"/>
                <w:sz w:val="21"/>
                <w:szCs w:val="21"/>
                <w:lang w:eastAsia="zh-CN"/>
              </w:rPr>
            </w:pPr>
            <w:r>
              <w:rPr>
                <w:rFonts w:hint="eastAsia" w:ascii="Times New Roman" w:hAnsi="Times New Roman" w:eastAsia="仿宋" w:cs="Times New Roman"/>
                <w:kern w:val="0"/>
                <w:sz w:val="21"/>
                <w:szCs w:val="21"/>
                <w:lang w:val="en-US" w:eastAsia="zh-CN"/>
              </w:rPr>
              <w:t>季节</w:t>
            </w:r>
          </w:p>
        </w:tc>
        <w:tc>
          <w:tcPr>
            <w:tcW w:w="781" w:type="pct"/>
            <w:tcBorders>
              <w:top w:val="single" w:color="auto" w:sz="8" w:space="0"/>
              <w:bottom w:val="single" w:color="auto" w:sz="6" w:space="0"/>
            </w:tcBorders>
            <w:vAlign w:val="center"/>
          </w:tcPr>
          <w:p w14:paraId="3320D252">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例数</w:t>
            </w:r>
          </w:p>
        </w:tc>
        <w:tc>
          <w:tcPr>
            <w:tcW w:w="1308" w:type="dxa"/>
            <w:tcBorders>
              <w:top w:val="single" w:color="auto" w:sz="8" w:space="0"/>
              <w:bottom w:val="single" w:color="auto" w:sz="6" w:space="0"/>
            </w:tcBorders>
            <w:vAlign w:val="center"/>
          </w:tcPr>
          <w:p w14:paraId="2C96DC83">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eastAsia" w:ascii="Times New Roman" w:hAnsi="Times New Roman" w:eastAsia="仿宋" w:cs="Times New Roman"/>
                <w:kern w:val="0"/>
                <w:sz w:val="22"/>
                <w:szCs w:val="20"/>
              </w:rPr>
              <w:t>超标例数</w:t>
            </w:r>
          </w:p>
        </w:tc>
        <w:tc>
          <w:tcPr>
            <w:tcW w:w="1485" w:type="dxa"/>
            <w:tcBorders>
              <w:top w:val="single" w:color="auto" w:sz="8" w:space="0"/>
              <w:bottom w:val="single" w:color="auto" w:sz="6" w:space="0"/>
            </w:tcBorders>
            <w:vAlign w:val="center"/>
          </w:tcPr>
          <w:p w14:paraId="6E3FAF74">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eastAsia" w:ascii="Times New Roman" w:hAnsi="Times New Roman" w:eastAsia="仿宋" w:cs="Times New Roman"/>
                <w:kern w:val="0"/>
                <w:sz w:val="22"/>
                <w:szCs w:val="20"/>
              </w:rPr>
              <w:t>不超标例数</w:t>
            </w:r>
          </w:p>
        </w:tc>
        <w:tc>
          <w:tcPr>
            <w:tcW w:w="777" w:type="pct"/>
            <w:tcBorders>
              <w:top w:val="single" w:color="auto" w:sz="8" w:space="0"/>
              <w:bottom w:val="single" w:color="auto" w:sz="6" w:space="0"/>
            </w:tcBorders>
            <w:vAlign w:val="center"/>
          </w:tcPr>
          <w:p w14:paraId="518F383A">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检出率（%）</w:t>
            </w:r>
          </w:p>
        </w:tc>
        <w:tc>
          <w:tcPr>
            <w:tcW w:w="402" w:type="pct"/>
            <w:tcBorders>
              <w:top w:val="single" w:color="auto" w:sz="8" w:space="0"/>
              <w:bottom w:val="single" w:color="auto" w:sz="6" w:space="0"/>
            </w:tcBorders>
            <w:vAlign w:val="center"/>
          </w:tcPr>
          <w:p w14:paraId="29180EC2">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i/>
                <w:iCs/>
                <w:kern w:val="0"/>
                <w:sz w:val="21"/>
                <w:szCs w:val="21"/>
              </w:rPr>
              <w:t>P</w:t>
            </w:r>
            <w:r>
              <w:rPr>
                <w:rFonts w:hint="default" w:ascii="Times New Roman" w:hAnsi="Times New Roman" w:eastAsia="仿宋" w:cs="Times New Roman"/>
                <w:kern w:val="0"/>
                <w:sz w:val="21"/>
                <w:szCs w:val="21"/>
              </w:rPr>
              <w:t>值</w:t>
            </w:r>
          </w:p>
        </w:tc>
      </w:tr>
      <w:tr w14:paraId="4706710F">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28" w:type="dxa"/>
            <w:bottom w:w="0" w:type="dxa"/>
            <w:right w:w="28" w:type="dxa"/>
          </w:tblCellMar>
        </w:tblPrEx>
        <w:trPr>
          <w:trHeight w:val="340" w:hRule="atLeast"/>
        </w:trPr>
        <w:tc>
          <w:tcPr>
            <w:tcW w:w="828" w:type="pct"/>
            <w:vMerge w:val="restart"/>
            <w:tcBorders>
              <w:top w:val="single" w:color="auto" w:sz="6" w:space="0"/>
            </w:tcBorders>
          </w:tcPr>
          <w:p w14:paraId="7C4ED647">
            <w:pPr>
              <w:keepNext w:val="0"/>
              <w:keepLines w:val="0"/>
              <w:suppressLineNumbers w:val="0"/>
              <w:spacing w:before="0" w:beforeAutospacing="0" w:after="0" w:afterAutospacing="0" w:line="240" w:lineRule="auto"/>
              <w:ind w:left="0" w:right="0"/>
              <w:rPr>
                <w:rFonts w:hint="eastAsia" w:ascii="Times New Roman" w:hAnsi="Times New Roman" w:eastAsia="仿宋" w:cs="Times New Roman"/>
                <w:kern w:val="0"/>
                <w:sz w:val="21"/>
                <w:szCs w:val="21"/>
                <w:lang w:eastAsia="zh-CN"/>
              </w:rPr>
            </w:pPr>
            <w:r>
              <w:rPr>
                <w:rFonts w:hint="eastAsia" w:ascii="Times New Roman" w:hAnsi="Times New Roman" w:eastAsia="仿宋" w:cs="Times New Roman"/>
                <w:kern w:val="0"/>
                <w:sz w:val="21"/>
                <w:szCs w:val="21"/>
                <w:lang w:eastAsia="zh-CN"/>
              </w:rPr>
              <w:t>大流量</w:t>
            </w:r>
          </w:p>
        </w:tc>
        <w:tc>
          <w:tcPr>
            <w:tcW w:w="539" w:type="pct"/>
            <w:tcBorders>
              <w:top w:val="single" w:color="auto" w:sz="6" w:space="0"/>
            </w:tcBorders>
            <w:vAlign w:val="center"/>
          </w:tcPr>
          <w:p w14:paraId="372CA87A">
            <w:pPr>
              <w:keepNext w:val="0"/>
              <w:keepLines w:val="0"/>
              <w:suppressLineNumbers w:val="0"/>
              <w:spacing w:before="0" w:beforeAutospacing="0" w:after="0" w:afterAutospacing="0" w:line="240" w:lineRule="auto"/>
              <w:ind w:left="0" w:right="0"/>
              <w:jc w:val="center"/>
              <w:rPr>
                <w:rFonts w:hint="eastAsia" w:ascii="Times New Roman" w:hAnsi="Times New Roman" w:eastAsia="仿宋" w:cs="Times New Roman"/>
                <w:kern w:val="0"/>
                <w:sz w:val="21"/>
                <w:szCs w:val="21"/>
                <w:lang w:eastAsia="zh-CN"/>
              </w:rPr>
            </w:pPr>
            <w:r>
              <w:rPr>
                <w:rFonts w:hint="eastAsia" w:ascii="Times New Roman" w:hAnsi="Times New Roman" w:eastAsia="仿宋" w:cs="Times New Roman"/>
                <w:kern w:val="0"/>
                <w:sz w:val="21"/>
                <w:szCs w:val="21"/>
                <w:lang w:val="en-US" w:eastAsia="zh-CN"/>
              </w:rPr>
              <w:t>夏</w:t>
            </w:r>
          </w:p>
        </w:tc>
        <w:tc>
          <w:tcPr>
            <w:tcW w:w="781" w:type="pct"/>
            <w:tcBorders>
              <w:top w:val="single" w:color="auto" w:sz="6" w:space="0"/>
            </w:tcBorders>
            <w:vAlign w:val="center"/>
          </w:tcPr>
          <w:p w14:paraId="794289F9">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120</w:t>
            </w:r>
          </w:p>
        </w:tc>
        <w:tc>
          <w:tcPr>
            <w:tcW w:w="781" w:type="pct"/>
            <w:tcBorders>
              <w:top w:val="single" w:color="auto" w:sz="6" w:space="0"/>
            </w:tcBorders>
            <w:vAlign w:val="center"/>
          </w:tcPr>
          <w:p w14:paraId="4A3C92A9">
            <w:pPr>
              <w:keepNext w:val="0"/>
              <w:keepLines w:val="0"/>
              <w:suppressLineNumbers w:val="0"/>
              <w:spacing w:before="0" w:beforeAutospacing="0" w:after="0" w:afterAutospacing="0" w:line="240" w:lineRule="auto"/>
              <w:ind w:left="0" w:right="0"/>
              <w:jc w:val="center"/>
              <w:rPr>
                <w:rFonts w:hint="eastAsia" w:ascii="Times New Roman" w:hAnsi="Times New Roman" w:eastAsia="仿宋" w:cs="Times New Roman"/>
                <w:kern w:val="0"/>
                <w:sz w:val="21"/>
                <w:szCs w:val="21"/>
                <w:lang w:eastAsia="zh-CN"/>
              </w:rPr>
            </w:pPr>
            <w:r>
              <w:rPr>
                <w:rFonts w:hint="eastAsia" w:ascii="Times New Roman" w:hAnsi="Times New Roman" w:eastAsia="仿宋" w:cs="Times New Roman"/>
                <w:kern w:val="0"/>
                <w:sz w:val="21"/>
                <w:szCs w:val="21"/>
                <w:lang w:val="en-US" w:eastAsia="zh-CN"/>
              </w:rPr>
              <w:t>1</w:t>
            </w:r>
          </w:p>
        </w:tc>
        <w:tc>
          <w:tcPr>
            <w:tcW w:w="1485" w:type="dxa"/>
            <w:tcBorders>
              <w:top w:val="single" w:color="auto" w:sz="6" w:space="0"/>
            </w:tcBorders>
            <w:vAlign w:val="center"/>
          </w:tcPr>
          <w:p w14:paraId="3CC77EF6">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119</w:t>
            </w:r>
          </w:p>
        </w:tc>
        <w:tc>
          <w:tcPr>
            <w:tcW w:w="1301" w:type="dxa"/>
            <w:tcBorders>
              <w:top w:val="single" w:color="auto" w:sz="6" w:space="0"/>
            </w:tcBorders>
            <w:vAlign w:val="bottom"/>
          </w:tcPr>
          <w:p w14:paraId="4C0C85DC">
            <w:pPr>
              <w:keepNext w:val="0"/>
              <w:keepLines w:val="0"/>
              <w:suppressLineNumbers w:val="0"/>
              <w:spacing w:before="0" w:beforeAutospacing="0" w:after="0" w:afterAutospacing="0" w:line="240" w:lineRule="auto"/>
              <w:ind w:left="0" w:right="0"/>
              <w:jc w:val="center"/>
              <w:rPr>
                <w:rFonts w:hint="eastAsia" w:ascii="Times New Roman" w:hAnsi="Times New Roman" w:eastAsia="仿宋" w:cs="Times New Roman"/>
                <w:kern w:val="0"/>
                <w:sz w:val="21"/>
                <w:szCs w:val="21"/>
                <w:lang w:val="en-US" w:eastAsia="zh-CN"/>
              </w:rPr>
            </w:pPr>
            <w:r>
              <w:rPr>
                <w:rFonts w:hint="default" w:ascii="Times New Roman" w:hAnsi="Times New Roman" w:eastAsia="仿宋" w:cs="Times New Roman"/>
                <w:kern w:val="0"/>
                <w:sz w:val="21"/>
                <w:szCs w:val="21"/>
                <w:lang w:val="en-US" w:eastAsia="zh-CN"/>
              </w:rPr>
              <w:t xml:space="preserve">0.00 </w:t>
            </w:r>
          </w:p>
        </w:tc>
        <w:tc>
          <w:tcPr>
            <w:tcW w:w="402" w:type="pct"/>
            <w:tcBorders>
              <w:top w:val="single" w:color="auto" w:sz="6" w:space="0"/>
            </w:tcBorders>
            <w:vAlign w:val="center"/>
          </w:tcPr>
          <w:p w14:paraId="3BCE83A1">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highlight w:val="yellow"/>
              </w:rPr>
            </w:pPr>
          </w:p>
        </w:tc>
      </w:tr>
      <w:tr w14:paraId="4C3E1F66">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28" w:type="dxa"/>
            <w:bottom w:w="0" w:type="dxa"/>
            <w:right w:w="28" w:type="dxa"/>
          </w:tblCellMar>
        </w:tblPrEx>
        <w:trPr>
          <w:trHeight w:val="340" w:hRule="atLeast"/>
        </w:trPr>
        <w:tc>
          <w:tcPr>
            <w:tcW w:w="828" w:type="pct"/>
            <w:vMerge w:val="continue"/>
            <w:vAlign w:val="center"/>
          </w:tcPr>
          <w:p w14:paraId="28343959">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p>
        </w:tc>
        <w:tc>
          <w:tcPr>
            <w:tcW w:w="539" w:type="pct"/>
            <w:tcBorders>
              <w:bottom w:val="single" w:color="auto" w:sz="4" w:space="0"/>
            </w:tcBorders>
            <w:vAlign w:val="center"/>
          </w:tcPr>
          <w:p w14:paraId="65AF448E">
            <w:pPr>
              <w:keepNext w:val="0"/>
              <w:keepLines w:val="0"/>
              <w:suppressLineNumbers w:val="0"/>
              <w:spacing w:before="0" w:beforeAutospacing="0" w:after="0" w:afterAutospacing="0" w:line="240" w:lineRule="auto"/>
              <w:ind w:left="0" w:right="0"/>
              <w:jc w:val="center"/>
              <w:rPr>
                <w:rFonts w:hint="eastAsia" w:ascii="Times New Roman" w:hAnsi="Times New Roman" w:eastAsia="仿宋" w:cs="Times New Roman"/>
                <w:kern w:val="0"/>
                <w:sz w:val="21"/>
                <w:szCs w:val="21"/>
                <w:lang w:eastAsia="zh-CN"/>
              </w:rPr>
            </w:pPr>
            <w:r>
              <w:rPr>
                <w:rFonts w:hint="eastAsia" w:ascii="Times New Roman" w:hAnsi="Times New Roman" w:eastAsia="仿宋" w:cs="Times New Roman"/>
                <w:kern w:val="0"/>
                <w:sz w:val="21"/>
                <w:szCs w:val="21"/>
                <w:lang w:val="en-US" w:eastAsia="zh-CN"/>
              </w:rPr>
              <w:t>冬</w:t>
            </w:r>
          </w:p>
        </w:tc>
        <w:tc>
          <w:tcPr>
            <w:tcW w:w="781" w:type="pct"/>
            <w:tcBorders>
              <w:bottom w:val="single" w:color="auto" w:sz="4" w:space="0"/>
            </w:tcBorders>
            <w:vAlign w:val="center"/>
          </w:tcPr>
          <w:p w14:paraId="74F752E7">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132</w:t>
            </w:r>
          </w:p>
        </w:tc>
        <w:tc>
          <w:tcPr>
            <w:tcW w:w="781" w:type="pct"/>
            <w:tcBorders>
              <w:bottom w:val="single" w:color="auto" w:sz="4" w:space="0"/>
            </w:tcBorders>
            <w:vAlign w:val="center"/>
          </w:tcPr>
          <w:p w14:paraId="46401BD0">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0</w:t>
            </w:r>
          </w:p>
        </w:tc>
        <w:tc>
          <w:tcPr>
            <w:tcW w:w="1485" w:type="dxa"/>
            <w:tcBorders>
              <w:bottom w:val="single" w:color="auto" w:sz="4" w:space="0"/>
            </w:tcBorders>
            <w:vAlign w:val="center"/>
          </w:tcPr>
          <w:p w14:paraId="05E79F91">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132</w:t>
            </w:r>
          </w:p>
        </w:tc>
        <w:tc>
          <w:tcPr>
            <w:tcW w:w="1301" w:type="dxa"/>
            <w:tcBorders>
              <w:bottom w:val="single" w:color="auto" w:sz="4" w:space="0"/>
            </w:tcBorders>
            <w:vAlign w:val="bottom"/>
          </w:tcPr>
          <w:p w14:paraId="74D63285">
            <w:pPr>
              <w:keepNext w:val="0"/>
              <w:keepLines w:val="0"/>
              <w:suppressLineNumbers w:val="0"/>
              <w:spacing w:before="0" w:beforeAutospacing="0" w:after="0" w:afterAutospacing="0" w:line="240" w:lineRule="auto"/>
              <w:ind w:left="0" w:right="0"/>
              <w:jc w:val="center"/>
              <w:rPr>
                <w:rFonts w:hint="eastAsia" w:ascii="Times New Roman" w:hAnsi="Times New Roman" w:eastAsia="仿宋" w:cs="Times New Roman"/>
                <w:kern w:val="0"/>
                <w:sz w:val="21"/>
                <w:szCs w:val="21"/>
                <w:lang w:val="en-US" w:eastAsia="zh-CN"/>
              </w:rPr>
            </w:pPr>
            <w:r>
              <w:rPr>
                <w:rFonts w:hint="default" w:ascii="Times New Roman" w:hAnsi="Times New Roman" w:eastAsia="仿宋" w:cs="Times New Roman"/>
                <w:kern w:val="0"/>
                <w:sz w:val="21"/>
                <w:szCs w:val="21"/>
                <w:lang w:val="en-US" w:eastAsia="zh-CN"/>
              </w:rPr>
              <w:t xml:space="preserve">0.00 </w:t>
            </w:r>
          </w:p>
        </w:tc>
        <w:tc>
          <w:tcPr>
            <w:tcW w:w="402" w:type="pct"/>
            <w:tcBorders>
              <w:bottom w:val="single" w:color="auto" w:sz="4" w:space="0"/>
            </w:tcBorders>
            <w:vAlign w:val="center"/>
          </w:tcPr>
          <w:p w14:paraId="2B8426D4">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highlight w:val="yellow"/>
                <w:lang w:val="en-US"/>
              </w:rPr>
            </w:pPr>
            <w:r>
              <w:rPr>
                <w:rFonts w:hint="eastAsia" w:ascii="Times New Roman" w:hAnsi="Times New Roman" w:eastAsia="仿宋" w:cs="Times New Roman"/>
                <w:kern w:val="0"/>
                <w:sz w:val="21"/>
                <w:szCs w:val="21"/>
                <w:highlight w:val="none"/>
                <w:lang w:val="en-US" w:eastAsia="zh-CN"/>
              </w:rPr>
              <w:t>0.476</w:t>
            </w:r>
          </w:p>
        </w:tc>
      </w:tr>
      <w:tr w14:paraId="3E1A5388">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28" w:type="dxa"/>
            <w:bottom w:w="0" w:type="dxa"/>
            <w:right w:w="28" w:type="dxa"/>
          </w:tblCellMar>
        </w:tblPrEx>
        <w:trPr>
          <w:trHeight w:val="340" w:hRule="atLeast"/>
        </w:trPr>
        <w:tc>
          <w:tcPr>
            <w:tcW w:w="828" w:type="pct"/>
            <w:vMerge w:val="restart"/>
            <w:vAlign w:val="top"/>
          </w:tcPr>
          <w:p w14:paraId="62020A9C">
            <w:pPr>
              <w:keepNext w:val="0"/>
              <w:keepLines w:val="0"/>
              <w:suppressLineNumbers w:val="0"/>
              <w:spacing w:before="0" w:beforeAutospacing="0" w:after="0" w:afterAutospacing="0" w:line="240" w:lineRule="auto"/>
              <w:ind w:left="0" w:right="0"/>
              <w:jc w:val="both"/>
              <w:rPr>
                <w:rFonts w:hint="default" w:ascii="Times New Roman" w:hAnsi="Times New Roman" w:eastAsia="仿宋" w:cs="Times New Roman"/>
                <w:kern w:val="0"/>
                <w:sz w:val="21"/>
                <w:szCs w:val="21"/>
              </w:rPr>
            </w:pPr>
            <w:r>
              <w:rPr>
                <w:rFonts w:hint="eastAsia" w:ascii="Times New Roman" w:hAnsi="Times New Roman" w:eastAsia="仿宋" w:cs="Times New Roman"/>
                <w:kern w:val="0"/>
                <w:sz w:val="21"/>
                <w:szCs w:val="21"/>
                <w:lang w:eastAsia="zh-CN"/>
              </w:rPr>
              <w:t>LS</w:t>
            </w:r>
          </w:p>
        </w:tc>
        <w:tc>
          <w:tcPr>
            <w:tcW w:w="539" w:type="pct"/>
            <w:tcBorders>
              <w:top w:val="single" w:color="auto" w:sz="4" w:space="0"/>
              <w:bottom w:val="nil"/>
            </w:tcBorders>
            <w:vAlign w:val="center"/>
          </w:tcPr>
          <w:p w14:paraId="2FB6C0A1">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eastAsia" w:ascii="Times New Roman" w:hAnsi="Times New Roman" w:eastAsia="仿宋" w:cs="Times New Roman"/>
                <w:kern w:val="0"/>
                <w:sz w:val="21"/>
                <w:szCs w:val="21"/>
                <w:lang w:val="en-US" w:eastAsia="zh-CN"/>
              </w:rPr>
              <w:t>夏</w:t>
            </w:r>
          </w:p>
        </w:tc>
        <w:tc>
          <w:tcPr>
            <w:tcW w:w="781" w:type="pct"/>
            <w:tcBorders>
              <w:top w:val="single" w:color="auto" w:sz="4" w:space="0"/>
              <w:bottom w:val="nil"/>
            </w:tcBorders>
            <w:vAlign w:val="center"/>
          </w:tcPr>
          <w:p w14:paraId="2B997FFE">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120</w:t>
            </w:r>
          </w:p>
        </w:tc>
        <w:tc>
          <w:tcPr>
            <w:tcW w:w="781" w:type="pct"/>
            <w:tcBorders>
              <w:top w:val="single" w:color="auto" w:sz="4" w:space="0"/>
              <w:bottom w:val="nil"/>
            </w:tcBorders>
            <w:vAlign w:val="center"/>
          </w:tcPr>
          <w:p w14:paraId="6BF243A8">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42</w:t>
            </w:r>
          </w:p>
        </w:tc>
        <w:tc>
          <w:tcPr>
            <w:tcW w:w="1485" w:type="dxa"/>
            <w:tcBorders>
              <w:top w:val="single" w:color="auto" w:sz="4" w:space="0"/>
              <w:bottom w:val="nil"/>
            </w:tcBorders>
            <w:vAlign w:val="center"/>
          </w:tcPr>
          <w:p w14:paraId="43011560">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 xml:space="preserve">78 </w:t>
            </w:r>
          </w:p>
        </w:tc>
        <w:tc>
          <w:tcPr>
            <w:tcW w:w="1301" w:type="dxa"/>
            <w:tcBorders>
              <w:top w:val="single" w:color="auto" w:sz="4" w:space="0"/>
              <w:bottom w:val="nil"/>
            </w:tcBorders>
            <w:vAlign w:val="bottom"/>
          </w:tcPr>
          <w:p w14:paraId="3D0A980E">
            <w:pPr>
              <w:keepNext w:val="0"/>
              <w:keepLines w:val="0"/>
              <w:suppressLineNumbers w:val="0"/>
              <w:spacing w:before="0" w:beforeAutospacing="0" w:after="0" w:afterAutospacing="0" w:line="240" w:lineRule="auto"/>
              <w:ind w:left="0" w:right="0"/>
              <w:jc w:val="center"/>
              <w:rPr>
                <w:rFonts w:hint="eastAsia" w:ascii="Times New Roman" w:hAnsi="Times New Roman" w:eastAsia="仿宋" w:cs="Times New Roman"/>
                <w:kern w:val="0"/>
                <w:sz w:val="21"/>
                <w:szCs w:val="21"/>
                <w:lang w:val="en-US" w:eastAsia="zh-CN"/>
              </w:rPr>
            </w:pPr>
            <w:r>
              <w:rPr>
                <w:rFonts w:hint="default" w:ascii="Times New Roman" w:hAnsi="Times New Roman" w:eastAsia="仿宋" w:cs="Times New Roman"/>
                <w:kern w:val="0"/>
                <w:sz w:val="21"/>
                <w:szCs w:val="21"/>
                <w:lang w:val="en-US" w:eastAsia="zh-CN"/>
              </w:rPr>
              <w:t xml:space="preserve">3.33 </w:t>
            </w:r>
          </w:p>
        </w:tc>
        <w:tc>
          <w:tcPr>
            <w:tcW w:w="402" w:type="pct"/>
            <w:tcBorders>
              <w:top w:val="single" w:color="auto" w:sz="4" w:space="0"/>
              <w:bottom w:val="nil"/>
            </w:tcBorders>
            <w:vAlign w:val="center"/>
          </w:tcPr>
          <w:p w14:paraId="2D0F99DE">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highlight w:val="yellow"/>
              </w:rPr>
            </w:pPr>
          </w:p>
        </w:tc>
      </w:tr>
      <w:tr w14:paraId="1E298C6C">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28" w:type="dxa"/>
            <w:bottom w:w="0" w:type="dxa"/>
            <w:right w:w="28" w:type="dxa"/>
          </w:tblCellMar>
        </w:tblPrEx>
        <w:trPr>
          <w:trHeight w:val="340" w:hRule="atLeast"/>
        </w:trPr>
        <w:tc>
          <w:tcPr>
            <w:tcW w:w="828" w:type="pct"/>
            <w:vMerge w:val="continue"/>
          </w:tcPr>
          <w:p w14:paraId="3B9C9964">
            <w:pPr>
              <w:keepNext w:val="0"/>
              <w:keepLines w:val="0"/>
              <w:suppressLineNumbers w:val="0"/>
              <w:spacing w:before="0" w:beforeAutospacing="0" w:after="0" w:afterAutospacing="0" w:line="240" w:lineRule="auto"/>
              <w:ind w:left="0" w:right="0"/>
              <w:rPr>
                <w:rFonts w:hint="default" w:ascii="Times New Roman" w:hAnsi="Times New Roman" w:eastAsia="仿宋" w:cs="Times New Roman"/>
                <w:kern w:val="0"/>
                <w:sz w:val="21"/>
                <w:szCs w:val="21"/>
              </w:rPr>
            </w:pPr>
          </w:p>
        </w:tc>
        <w:tc>
          <w:tcPr>
            <w:tcW w:w="539" w:type="pct"/>
            <w:tcBorders>
              <w:top w:val="nil"/>
              <w:bottom w:val="single" w:color="auto" w:sz="4" w:space="0"/>
            </w:tcBorders>
            <w:vAlign w:val="center"/>
          </w:tcPr>
          <w:p w14:paraId="1A2F4D46">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eastAsia" w:ascii="Times New Roman" w:hAnsi="Times New Roman" w:eastAsia="仿宋" w:cs="Times New Roman"/>
                <w:kern w:val="0"/>
                <w:sz w:val="21"/>
                <w:szCs w:val="21"/>
                <w:lang w:val="en-US" w:eastAsia="zh-CN"/>
              </w:rPr>
              <w:t>冬</w:t>
            </w:r>
          </w:p>
        </w:tc>
        <w:tc>
          <w:tcPr>
            <w:tcW w:w="781" w:type="pct"/>
            <w:tcBorders>
              <w:top w:val="nil"/>
              <w:bottom w:val="single" w:color="auto" w:sz="4" w:space="0"/>
            </w:tcBorders>
            <w:vAlign w:val="center"/>
          </w:tcPr>
          <w:p w14:paraId="28D321AB">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132</w:t>
            </w:r>
          </w:p>
        </w:tc>
        <w:tc>
          <w:tcPr>
            <w:tcW w:w="781" w:type="pct"/>
            <w:tcBorders>
              <w:top w:val="nil"/>
              <w:bottom w:val="single" w:color="auto" w:sz="4" w:space="0"/>
            </w:tcBorders>
            <w:vAlign w:val="center"/>
          </w:tcPr>
          <w:p w14:paraId="1797F99B">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32</w:t>
            </w:r>
          </w:p>
        </w:tc>
        <w:tc>
          <w:tcPr>
            <w:tcW w:w="1485" w:type="dxa"/>
            <w:tcBorders>
              <w:top w:val="nil"/>
              <w:bottom w:val="single" w:color="auto" w:sz="4" w:space="0"/>
            </w:tcBorders>
            <w:vAlign w:val="center"/>
          </w:tcPr>
          <w:p w14:paraId="293FBF62">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100</w:t>
            </w:r>
          </w:p>
        </w:tc>
        <w:tc>
          <w:tcPr>
            <w:tcW w:w="1301" w:type="dxa"/>
            <w:tcBorders>
              <w:top w:val="nil"/>
              <w:bottom w:val="single" w:color="auto" w:sz="4" w:space="0"/>
            </w:tcBorders>
            <w:vAlign w:val="bottom"/>
          </w:tcPr>
          <w:p w14:paraId="43200B75">
            <w:pPr>
              <w:keepNext w:val="0"/>
              <w:keepLines w:val="0"/>
              <w:suppressLineNumbers w:val="0"/>
              <w:spacing w:before="0" w:beforeAutospacing="0" w:after="0" w:afterAutospacing="0" w:line="240" w:lineRule="auto"/>
              <w:ind w:left="0" w:right="0"/>
              <w:jc w:val="center"/>
              <w:rPr>
                <w:rFonts w:hint="eastAsia" w:ascii="Times New Roman" w:hAnsi="Times New Roman" w:eastAsia="仿宋" w:cs="Times New Roman"/>
                <w:kern w:val="0"/>
                <w:sz w:val="21"/>
                <w:szCs w:val="21"/>
                <w:lang w:val="en-US" w:eastAsia="zh-CN"/>
              </w:rPr>
            </w:pPr>
            <w:r>
              <w:rPr>
                <w:rFonts w:hint="default" w:ascii="Times New Roman" w:hAnsi="Times New Roman" w:eastAsia="仿宋" w:cs="Times New Roman"/>
                <w:kern w:val="0"/>
                <w:sz w:val="21"/>
                <w:szCs w:val="21"/>
                <w:lang w:val="en-US" w:eastAsia="zh-CN"/>
              </w:rPr>
              <w:t xml:space="preserve">3.79 </w:t>
            </w:r>
          </w:p>
        </w:tc>
        <w:tc>
          <w:tcPr>
            <w:tcW w:w="402" w:type="pct"/>
            <w:tcBorders>
              <w:top w:val="nil"/>
              <w:bottom w:val="single" w:color="auto" w:sz="4" w:space="0"/>
            </w:tcBorders>
            <w:vAlign w:val="center"/>
          </w:tcPr>
          <w:p w14:paraId="6B9DF8E9">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highlight w:val="yellow"/>
              </w:rPr>
            </w:pPr>
            <w:r>
              <w:rPr>
                <w:rFonts w:hint="eastAsia" w:ascii="Times New Roman" w:hAnsi="Times New Roman" w:eastAsia="仿宋" w:cs="Times New Roman"/>
                <w:kern w:val="0"/>
                <w:sz w:val="21"/>
                <w:szCs w:val="21"/>
                <w:lang w:val="en-US" w:eastAsia="zh-CN"/>
              </w:rPr>
              <w:t>&lt;0.05</w:t>
            </w:r>
          </w:p>
        </w:tc>
      </w:tr>
      <w:tr w14:paraId="5D6CC78C">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28" w:type="dxa"/>
            <w:bottom w:w="0" w:type="dxa"/>
            <w:right w:w="28" w:type="dxa"/>
          </w:tblCellMar>
        </w:tblPrEx>
        <w:trPr>
          <w:trHeight w:val="380" w:hRule="atLeast"/>
        </w:trPr>
        <w:tc>
          <w:tcPr>
            <w:tcW w:w="828" w:type="pct"/>
            <w:vMerge w:val="restart"/>
            <w:vAlign w:val="top"/>
          </w:tcPr>
          <w:p w14:paraId="22DDE134">
            <w:pPr>
              <w:keepNext w:val="0"/>
              <w:keepLines w:val="0"/>
              <w:suppressLineNumbers w:val="0"/>
              <w:spacing w:before="0" w:beforeAutospacing="0" w:after="0" w:afterAutospacing="0" w:line="240" w:lineRule="auto"/>
              <w:ind w:left="0" w:right="0"/>
              <w:jc w:val="both"/>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SKC法</w:t>
            </w:r>
          </w:p>
        </w:tc>
        <w:tc>
          <w:tcPr>
            <w:tcW w:w="539" w:type="pct"/>
            <w:tcBorders>
              <w:top w:val="single" w:color="auto" w:sz="4" w:space="0"/>
            </w:tcBorders>
            <w:vAlign w:val="center"/>
          </w:tcPr>
          <w:p w14:paraId="2726ADEE">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eastAsia" w:ascii="Times New Roman" w:hAnsi="Times New Roman" w:eastAsia="仿宋" w:cs="Times New Roman"/>
                <w:kern w:val="0"/>
                <w:sz w:val="21"/>
                <w:szCs w:val="21"/>
                <w:lang w:val="en-US" w:eastAsia="zh-CN"/>
              </w:rPr>
              <w:t>夏</w:t>
            </w:r>
          </w:p>
        </w:tc>
        <w:tc>
          <w:tcPr>
            <w:tcW w:w="781" w:type="pct"/>
            <w:tcBorders>
              <w:top w:val="single" w:color="auto" w:sz="4" w:space="0"/>
            </w:tcBorders>
            <w:vAlign w:val="center"/>
          </w:tcPr>
          <w:p w14:paraId="7F0E49B9">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40</w:t>
            </w:r>
          </w:p>
        </w:tc>
        <w:tc>
          <w:tcPr>
            <w:tcW w:w="781" w:type="pct"/>
            <w:tcBorders>
              <w:top w:val="single" w:color="auto" w:sz="4" w:space="0"/>
            </w:tcBorders>
            <w:vAlign w:val="center"/>
          </w:tcPr>
          <w:p w14:paraId="3ACD942F">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26</w:t>
            </w:r>
          </w:p>
        </w:tc>
        <w:tc>
          <w:tcPr>
            <w:tcW w:w="1485" w:type="dxa"/>
            <w:tcBorders>
              <w:top w:val="single" w:color="auto" w:sz="4" w:space="0"/>
            </w:tcBorders>
            <w:vAlign w:val="center"/>
          </w:tcPr>
          <w:p w14:paraId="3101551D">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14</w:t>
            </w:r>
          </w:p>
        </w:tc>
        <w:tc>
          <w:tcPr>
            <w:tcW w:w="1301" w:type="dxa"/>
            <w:tcBorders>
              <w:top w:val="single" w:color="auto" w:sz="4" w:space="0"/>
            </w:tcBorders>
            <w:vAlign w:val="bottom"/>
          </w:tcPr>
          <w:p w14:paraId="2E158BC9">
            <w:pPr>
              <w:keepNext w:val="0"/>
              <w:keepLines w:val="0"/>
              <w:suppressLineNumbers w:val="0"/>
              <w:spacing w:before="0" w:beforeAutospacing="0" w:after="0" w:afterAutospacing="0" w:line="240" w:lineRule="auto"/>
              <w:ind w:left="0" w:right="0"/>
              <w:jc w:val="center"/>
              <w:rPr>
                <w:rFonts w:hint="eastAsia" w:ascii="Times New Roman" w:hAnsi="Times New Roman" w:eastAsia="仿宋" w:cs="Times New Roman"/>
                <w:kern w:val="0"/>
                <w:sz w:val="21"/>
                <w:szCs w:val="21"/>
                <w:lang w:val="en-US" w:eastAsia="zh-CN"/>
              </w:rPr>
            </w:pPr>
            <w:r>
              <w:rPr>
                <w:rFonts w:hint="default" w:ascii="Times New Roman" w:hAnsi="Times New Roman" w:eastAsia="仿宋" w:cs="Times New Roman"/>
                <w:kern w:val="0"/>
                <w:sz w:val="21"/>
                <w:szCs w:val="21"/>
                <w:lang w:val="en-US" w:eastAsia="zh-CN"/>
              </w:rPr>
              <w:t xml:space="preserve">65.00 </w:t>
            </w:r>
          </w:p>
        </w:tc>
        <w:tc>
          <w:tcPr>
            <w:tcW w:w="402" w:type="pct"/>
            <w:tcBorders>
              <w:top w:val="single" w:color="auto" w:sz="4" w:space="0"/>
            </w:tcBorders>
            <w:vAlign w:val="center"/>
          </w:tcPr>
          <w:p w14:paraId="03D65BE1">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highlight w:val="yellow"/>
              </w:rPr>
            </w:pPr>
          </w:p>
        </w:tc>
      </w:tr>
      <w:tr w14:paraId="7CFB2B10">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28" w:type="dxa"/>
            <w:bottom w:w="0" w:type="dxa"/>
            <w:right w:w="28" w:type="dxa"/>
          </w:tblCellMar>
        </w:tblPrEx>
        <w:trPr>
          <w:trHeight w:val="340" w:hRule="atLeast"/>
        </w:trPr>
        <w:tc>
          <w:tcPr>
            <w:tcW w:w="828" w:type="pct"/>
            <w:vMerge w:val="continue"/>
            <w:vAlign w:val="center"/>
          </w:tcPr>
          <w:p w14:paraId="579B5402">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p>
        </w:tc>
        <w:tc>
          <w:tcPr>
            <w:tcW w:w="539" w:type="pct"/>
            <w:vAlign w:val="center"/>
          </w:tcPr>
          <w:p w14:paraId="138F60AA">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rPr>
            </w:pPr>
            <w:r>
              <w:rPr>
                <w:rFonts w:hint="eastAsia" w:ascii="Times New Roman" w:hAnsi="Times New Roman" w:eastAsia="仿宋" w:cs="Times New Roman"/>
                <w:kern w:val="0"/>
                <w:sz w:val="21"/>
                <w:szCs w:val="21"/>
                <w:lang w:val="en-US" w:eastAsia="zh-CN"/>
              </w:rPr>
              <w:t>冬</w:t>
            </w:r>
          </w:p>
        </w:tc>
        <w:tc>
          <w:tcPr>
            <w:tcW w:w="781" w:type="pct"/>
            <w:vAlign w:val="center"/>
          </w:tcPr>
          <w:p w14:paraId="07563A6A">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44</w:t>
            </w:r>
          </w:p>
        </w:tc>
        <w:tc>
          <w:tcPr>
            <w:tcW w:w="781" w:type="pct"/>
            <w:vAlign w:val="center"/>
          </w:tcPr>
          <w:p w14:paraId="26A17236">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14</w:t>
            </w:r>
          </w:p>
        </w:tc>
        <w:tc>
          <w:tcPr>
            <w:tcW w:w="1485" w:type="dxa"/>
            <w:vAlign w:val="center"/>
          </w:tcPr>
          <w:p w14:paraId="6B337F81">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lang w:val="en-US" w:eastAsia="zh-CN"/>
              </w:rPr>
            </w:pPr>
            <w:r>
              <w:rPr>
                <w:rFonts w:hint="eastAsia" w:ascii="Times New Roman" w:hAnsi="Times New Roman" w:eastAsia="仿宋" w:cs="Times New Roman"/>
                <w:kern w:val="0"/>
                <w:sz w:val="21"/>
                <w:szCs w:val="21"/>
                <w:lang w:val="en-US" w:eastAsia="zh-CN"/>
              </w:rPr>
              <w:t>30</w:t>
            </w:r>
          </w:p>
        </w:tc>
        <w:tc>
          <w:tcPr>
            <w:tcW w:w="1301" w:type="dxa"/>
            <w:vAlign w:val="bottom"/>
          </w:tcPr>
          <w:p w14:paraId="772DB747">
            <w:pPr>
              <w:keepNext w:val="0"/>
              <w:keepLines w:val="0"/>
              <w:suppressLineNumbers w:val="0"/>
              <w:spacing w:before="0" w:beforeAutospacing="0" w:after="0" w:afterAutospacing="0" w:line="240" w:lineRule="auto"/>
              <w:ind w:left="0" w:right="0"/>
              <w:jc w:val="center"/>
              <w:rPr>
                <w:rFonts w:hint="eastAsia" w:ascii="Times New Roman" w:hAnsi="Times New Roman" w:eastAsia="仿宋" w:cs="Times New Roman"/>
                <w:kern w:val="0"/>
                <w:sz w:val="21"/>
                <w:szCs w:val="21"/>
                <w:lang w:val="en-US" w:eastAsia="zh-CN"/>
              </w:rPr>
            </w:pPr>
            <w:r>
              <w:rPr>
                <w:rFonts w:hint="default" w:ascii="Times New Roman" w:hAnsi="Times New Roman" w:eastAsia="仿宋" w:cs="Times New Roman"/>
                <w:kern w:val="0"/>
                <w:sz w:val="21"/>
                <w:szCs w:val="21"/>
                <w:lang w:val="en-US" w:eastAsia="zh-CN"/>
              </w:rPr>
              <w:t xml:space="preserve">31.82 </w:t>
            </w:r>
          </w:p>
        </w:tc>
        <w:tc>
          <w:tcPr>
            <w:tcW w:w="402" w:type="pct"/>
            <w:vAlign w:val="center"/>
          </w:tcPr>
          <w:p w14:paraId="79598D05">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kern w:val="0"/>
                <w:sz w:val="21"/>
                <w:szCs w:val="21"/>
                <w:highlight w:val="yellow"/>
              </w:rPr>
            </w:pPr>
            <w:r>
              <w:rPr>
                <w:rFonts w:hint="eastAsia" w:ascii="Times New Roman" w:hAnsi="Times New Roman" w:eastAsia="仿宋" w:cs="Times New Roman"/>
                <w:kern w:val="0"/>
                <w:sz w:val="21"/>
                <w:szCs w:val="21"/>
                <w:lang w:val="en-US" w:eastAsia="zh-CN"/>
              </w:rPr>
              <w:t>&lt;0.05</w:t>
            </w:r>
          </w:p>
        </w:tc>
      </w:tr>
    </w:tbl>
    <w:p w14:paraId="73081BC2">
      <w:pPr>
        <w:keepNext w:val="0"/>
        <w:keepLines w:val="0"/>
        <w:pageBreakBefore w:val="0"/>
        <w:widowControl w:val="0"/>
        <w:kinsoku/>
        <w:wordWrap/>
        <w:overflowPunct/>
        <w:topLinePunct w:val="0"/>
        <w:autoSpaceDE/>
        <w:autoSpaceDN/>
        <w:bidi w:val="0"/>
        <w:adjustRightInd/>
        <w:snapToGrid/>
        <w:spacing w:line="240" w:lineRule="auto"/>
        <w:ind w:firstLine="482" w:firstLineChars="200"/>
        <w:textAlignment w:val="auto"/>
        <w:rPr>
          <w:rFonts w:hint="default" w:ascii="Times New Roman" w:hAnsi="Times New Roman" w:eastAsia="仿宋" w:cs="Times New Roman"/>
          <w:b/>
          <w:sz w:val="24"/>
          <w:szCs w:val="24"/>
          <w:lang w:val="en-US" w:eastAsia="zh-CN"/>
        </w:rPr>
      </w:pPr>
      <w:r>
        <w:rPr>
          <w:rFonts w:hint="eastAsia" w:ascii="Times New Roman" w:hAnsi="Times New Roman" w:eastAsia="仿宋" w:cs="Times New Roman"/>
          <w:b/>
          <w:sz w:val="24"/>
          <w:szCs w:val="24"/>
        </w:rPr>
        <w:t>超标率比较结果显示：在识别浓度超标的样品方面，三种设备的表现因微生物种类和季节而异。对于细菌，大流量与</w:t>
      </w:r>
      <w:r>
        <w:rPr>
          <w:rFonts w:hint="eastAsia" w:ascii="Times New Roman" w:hAnsi="Times New Roman" w:eastAsia="仿宋" w:cs="Times New Roman"/>
          <w:b/>
          <w:sz w:val="24"/>
          <w:szCs w:val="24"/>
          <w:lang w:val="en-US" w:eastAsia="zh-CN"/>
        </w:rPr>
        <w:t>LS</w:t>
      </w:r>
      <w:r>
        <w:rPr>
          <w:rFonts w:hint="eastAsia" w:ascii="Times New Roman" w:hAnsi="Times New Roman" w:eastAsia="仿宋" w:cs="Times New Roman"/>
          <w:b/>
          <w:sz w:val="24"/>
          <w:szCs w:val="24"/>
        </w:rPr>
        <w:t>在冬季均未检出超标，夏季超标率也极低（0%-3.36%），两者无显著差异（p&gt;0.05）；而SKC的超标率显著更高（夏季30.00%）。对于真菌，SKC的超标率最高（夏季30.00%，冬季31.82%），</w:t>
      </w:r>
      <w:r>
        <w:rPr>
          <w:rFonts w:hint="eastAsia" w:ascii="Times New Roman" w:hAnsi="Times New Roman" w:eastAsia="仿宋" w:cs="Times New Roman"/>
          <w:b/>
          <w:sz w:val="24"/>
          <w:szCs w:val="24"/>
          <w:lang w:val="en-US" w:eastAsia="zh-CN"/>
        </w:rPr>
        <w:t>LS</w:t>
      </w:r>
      <w:r>
        <w:rPr>
          <w:rFonts w:hint="eastAsia" w:ascii="Times New Roman" w:hAnsi="Times New Roman" w:eastAsia="仿宋" w:cs="Times New Roman"/>
          <w:b/>
          <w:sz w:val="24"/>
          <w:szCs w:val="24"/>
        </w:rPr>
        <w:t>次之（夏季35.00%，冬季24.24%），大流量最低（夏季0.83%，冬季0%）。结果提示，在捕获高浓度微生物气溶胶时，不同设备的设计参数（如流速、冲击方式）会影响其捕获效能。</w:t>
      </w:r>
    </w:p>
    <w:p w14:paraId="2B6D3644">
      <w:pPr>
        <w:pStyle w:val="4"/>
        <w:spacing w:line="240" w:lineRule="auto"/>
        <w:ind w:firstLine="482"/>
        <w:rPr>
          <w:rFonts w:cs="Times New Roman"/>
        </w:rPr>
      </w:pPr>
      <w:bookmarkStart w:id="252" w:name="_Toc177563296"/>
      <w:bookmarkStart w:id="253" w:name="_Toc14511"/>
      <w:r>
        <w:rPr>
          <w:rFonts w:hint="eastAsia" w:cs="Times New Roman"/>
        </w:rPr>
        <w:t>3）过程性指标评价</w:t>
      </w:r>
      <w:bookmarkEnd w:id="252"/>
      <w:bookmarkEnd w:id="253"/>
    </w:p>
    <w:p w14:paraId="17C79849">
      <w:pPr>
        <w:spacing w:line="240" w:lineRule="auto"/>
        <w:ind w:firstLine="480" w:firstLineChars="200"/>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rPr>
        <w:t>在操作层面，大流量与</w:t>
      </w:r>
      <w:r>
        <w:rPr>
          <w:rFonts w:hint="eastAsia" w:ascii="Times New Roman" w:hAnsi="Times New Roman" w:eastAsia="仿宋" w:cs="Times New Roman"/>
          <w:sz w:val="24"/>
          <w:szCs w:val="24"/>
          <w:lang w:val="en-US" w:eastAsia="zh-CN"/>
        </w:rPr>
        <w:t>LS</w:t>
      </w:r>
      <w:r>
        <w:rPr>
          <w:rFonts w:hint="eastAsia" w:ascii="Times New Roman" w:hAnsi="Times New Roman" w:eastAsia="仿宋" w:cs="Times New Roman"/>
          <w:sz w:val="24"/>
          <w:szCs w:val="24"/>
        </w:rPr>
        <w:t>因流速高，单次采样时间短（≤10分钟），效率高；SKC法耗时较长（</w:t>
      </w:r>
      <w:r>
        <w:rPr>
          <w:rFonts w:hint="eastAsia" w:ascii="Times New Roman" w:hAnsi="Times New Roman" w:eastAsia="仿宋" w:cs="Times New Roman"/>
          <w:sz w:val="24"/>
          <w:szCs w:val="24"/>
          <w:lang w:val="en-US" w:eastAsia="zh-CN"/>
        </w:rPr>
        <w:t>至少</w:t>
      </w:r>
      <w:r>
        <w:rPr>
          <w:rFonts w:hint="eastAsia" w:ascii="Times New Roman" w:hAnsi="Times New Roman" w:eastAsia="仿宋" w:cs="Times New Roman"/>
          <w:sz w:val="24"/>
          <w:szCs w:val="24"/>
        </w:rPr>
        <w:t>≥24分钟）。在耗材方面，大流量所需捕集液体积（3mL）远少于</w:t>
      </w:r>
      <w:r>
        <w:rPr>
          <w:rFonts w:hint="eastAsia" w:ascii="Times New Roman" w:hAnsi="Times New Roman" w:eastAsia="仿宋" w:cs="Times New Roman"/>
          <w:sz w:val="24"/>
          <w:szCs w:val="24"/>
          <w:lang w:val="en-US" w:eastAsia="zh-CN"/>
        </w:rPr>
        <w:t>LS</w:t>
      </w:r>
      <w:r>
        <w:rPr>
          <w:rFonts w:hint="eastAsia" w:ascii="Times New Roman" w:hAnsi="Times New Roman" w:eastAsia="仿宋" w:cs="Times New Roman"/>
          <w:sz w:val="24"/>
          <w:szCs w:val="24"/>
        </w:rPr>
        <w:t>和SKC（15-20mL）。设备成本上，大流量设备具有价格优势。这表明，基于液体气旋原理的设备在实现快速、低成本采样方面具备可行性</w:t>
      </w:r>
      <w:r>
        <w:rPr>
          <w:rFonts w:hint="eastAsia" w:ascii="Times New Roman" w:hAnsi="Times New Roman" w:eastAsia="仿宋" w:cs="Times New Roman"/>
          <w:sz w:val="24"/>
          <w:szCs w:val="24"/>
          <w:lang w:eastAsia="zh-CN"/>
        </w:rPr>
        <w:t>，</w:t>
      </w:r>
      <w:r>
        <w:rPr>
          <w:rFonts w:hint="eastAsia" w:ascii="Times New Roman" w:hAnsi="Times New Roman" w:eastAsia="仿宋" w:cs="Times New Roman"/>
          <w:b/>
          <w:bCs/>
          <w:sz w:val="24"/>
          <w:szCs w:val="24"/>
          <w:lang w:val="en-US" w:eastAsia="zh-CN"/>
        </w:rPr>
        <w:t>尤其对于流量大于300L/min的设备更具有优势。</w:t>
      </w:r>
    </w:p>
    <w:p w14:paraId="660BBEBC">
      <w:pPr>
        <w:pStyle w:val="3"/>
        <w:spacing w:line="240" w:lineRule="auto"/>
        <w:rPr>
          <w:rFonts w:eastAsia="仿宋" w:cs="Times New Roman"/>
          <w:szCs w:val="24"/>
        </w:rPr>
      </w:pPr>
      <w:bookmarkStart w:id="254" w:name="_Toc177563297"/>
      <w:bookmarkStart w:id="255" w:name="_Toc15057"/>
      <w:r>
        <w:rPr>
          <w:rFonts w:eastAsia="仿宋" w:cs="Times New Roman"/>
          <w:szCs w:val="24"/>
        </w:rPr>
        <w:t>（2）准确性分析</w:t>
      </w:r>
      <w:bookmarkEnd w:id="254"/>
      <w:bookmarkEnd w:id="255"/>
    </w:p>
    <w:p w14:paraId="79C832E5">
      <w:pPr>
        <w:spacing w:line="240" w:lineRule="auto"/>
        <w:ind w:firstLine="480" w:firstLineChars="200"/>
        <w:rPr>
          <w:rFonts w:hint="eastAsia" w:ascii="Times New Roman" w:hAnsi="Times New Roman" w:eastAsia="仿宋" w:cs="Times New Roman"/>
          <w:sz w:val="24"/>
          <w:szCs w:val="24"/>
        </w:rPr>
      </w:pPr>
      <w:bookmarkStart w:id="256" w:name="_Toc177563298"/>
      <w:r>
        <w:rPr>
          <w:rFonts w:hint="eastAsia" w:ascii="Times New Roman" w:hAnsi="Times New Roman" w:eastAsia="仿宋" w:cs="Times New Roman"/>
          <w:sz w:val="24"/>
          <w:szCs w:val="24"/>
        </w:rPr>
        <w:t>以三种设备检测结果的绝对浓度进行相互比对，评估其测量准确性。</w:t>
      </w:r>
    </w:p>
    <w:p w14:paraId="746557E6">
      <w:pPr>
        <w:pStyle w:val="4"/>
        <w:spacing w:line="240" w:lineRule="auto"/>
        <w:ind w:firstLine="482"/>
        <w:rPr>
          <w:rFonts w:cs="Times New Roman"/>
        </w:rPr>
      </w:pPr>
      <w:bookmarkStart w:id="257" w:name="_Toc858"/>
      <w:r>
        <w:rPr>
          <w:rFonts w:hint="default" w:cs="Times New Roman"/>
        </w:rPr>
        <w:t>1）单次检测结果比对</w:t>
      </w:r>
      <w:bookmarkEnd w:id="256"/>
      <w:bookmarkEnd w:id="257"/>
    </w:p>
    <w:p w14:paraId="6EEA10BB">
      <w:pPr>
        <w:spacing w:line="240" w:lineRule="auto"/>
        <w:ind w:firstLine="482" w:firstLineChars="200"/>
        <w:rPr>
          <w:rFonts w:hint="eastAsia" w:ascii="Times New Roman" w:hAnsi="Times New Roman" w:eastAsia="仿宋" w:cs="Times New Roman"/>
          <w:sz w:val="24"/>
          <w:szCs w:val="24"/>
          <w:lang w:val="en-US" w:eastAsia="zh-CN"/>
        </w:rPr>
      </w:pPr>
      <w:r>
        <w:rPr>
          <w:rFonts w:hint="eastAsia" w:ascii="Times New Roman" w:hAnsi="Times New Roman" w:eastAsia="仿宋" w:cs="Times New Roman"/>
          <w:b/>
          <w:sz w:val="24"/>
          <w:szCs w:val="24"/>
        </w:rPr>
        <w:t>细菌总数：</w:t>
      </w:r>
      <w:r>
        <w:rPr>
          <w:rFonts w:hint="eastAsia" w:ascii="Times New Roman" w:hAnsi="Times New Roman" w:eastAsia="仿宋" w:cs="Times New Roman"/>
          <w:sz w:val="24"/>
          <w:szCs w:val="24"/>
          <w:lang w:val="en-US" w:eastAsia="zh-CN"/>
        </w:rPr>
        <w:t>在</w:t>
      </w:r>
      <w:r>
        <w:rPr>
          <w:rFonts w:hint="eastAsia" w:ascii="Times New Roman" w:hAnsi="Times New Roman" w:eastAsia="仿宋" w:cs="Times New Roman"/>
          <w:b/>
          <w:bCs/>
          <w:sz w:val="24"/>
          <w:szCs w:val="24"/>
          <w:lang w:val="en-US" w:eastAsia="zh-CN"/>
        </w:rPr>
        <w:t>夏季</w:t>
      </w:r>
      <w:r>
        <w:rPr>
          <w:rFonts w:hint="eastAsia" w:ascii="Times New Roman" w:hAnsi="Times New Roman" w:eastAsia="仿宋" w:cs="Times New Roman"/>
          <w:sz w:val="24"/>
          <w:szCs w:val="24"/>
          <w:lang w:val="en-US" w:eastAsia="zh-CN"/>
        </w:rPr>
        <w:t>，</w:t>
      </w:r>
      <w:r>
        <w:rPr>
          <w:rFonts w:hint="eastAsia" w:ascii="Times New Roman" w:hAnsi="Times New Roman" w:eastAsia="仿宋" w:cs="Times New Roman"/>
          <w:sz w:val="24"/>
          <w:szCs w:val="24"/>
          <w:lang w:eastAsia="zh-CN"/>
        </w:rPr>
        <w:t>大流量</w:t>
      </w:r>
      <w:r>
        <w:rPr>
          <w:rFonts w:hint="eastAsia" w:ascii="Times New Roman" w:hAnsi="Times New Roman" w:eastAsia="仿宋" w:cs="Times New Roman"/>
          <w:sz w:val="24"/>
          <w:szCs w:val="24"/>
          <w:lang w:val="en-US" w:eastAsia="zh-CN"/>
        </w:rPr>
        <w:t>样品中，86.55%（103/119）的单次细菌总数结果低于LS的样品结果，差值范围-2475.00~27487.50 CFU/m</w:t>
      </w:r>
      <w:r>
        <w:rPr>
          <w:rFonts w:hint="eastAsia" w:ascii="Times New Roman" w:hAnsi="Times New Roman" w:eastAsia="仿宋" w:cs="Times New Roman"/>
          <w:sz w:val="24"/>
          <w:szCs w:val="24"/>
          <w:vertAlign w:val="superscript"/>
          <w:lang w:val="en-US" w:eastAsia="zh-CN"/>
        </w:rPr>
        <w:t>3</w:t>
      </w:r>
      <w:r>
        <w:rPr>
          <w:rFonts w:hint="eastAsia" w:ascii="Times New Roman" w:hAnsi="Times New Roman" w:eastAsia="仿宋" w:cs="Times New Roman"/>
          <w:sz w:val="24"/>
          <w:szCs w:val="24"/>
          <w:lang w:val="en-US" w:eastAsia="zh-CN"/>
        </w:rPr>
        <w:t>，倍数范围0.00~2200倍；在</w:t>
      </w:r>
      <w:r>
        <w:rPr>
          <w:rFonts w:hint="eastAsia" w:ascii="Times New Roman" w:hAnsi="Times New Roman" w:eastAsia="仿宋" w:cs="Times New Roman"/>
          <w:b/>
          <w:bCs/>
          <w:sz w:val="24"/>
          <w:szCs w:val="24"/>
          <w:lang w:val="en-US" w:eastAsia="zh-CN"/>
        </w:rPr>
        <w:t>冬季</w:t>
      </w:r>
      <w:r>
        <w:rPr>
          <w:rFonts w:hint="eastAsia" w:ascii="Times New Roman" w:hAnsi="Times New Roman" w:eastAsia="仿宋" w:cs="Times New Roman"/>
          <w:sz w:val="24"/>
          <w:szCs w:val="24"/>
          <w:lang w:val="en-US" w:eastAsia="zh-CN"/>
        </w:rPr>
        <w:t>，大流量样品中，83.33%（110/132）的单次细菌总数结果低于LS的样品结果，差值范围-150.00~1775.00CFU/m</w:t>
      </w:r>
      <w:r>
        <w:rPr>
          <w:rFonts w:hint="eastAsia" w:ascii="Times New Roman" w:hAnsi="Times New Roman" w:eastAsia="仿宋" w:cs="Times New Roman"/>
          <w:sz w:val="24"/>
          <w:szCs w:val="24"/>
          <w:vertAlign w:val="superscript"/>
          <w:lang w:val="en-US" w:eastAsia="zh-CN"/>
        </w:rPr>
        <w:t>3</w:t>
      </w:r>
      <w:r>
        <w:rPr>
          <w:rFonts w:hint="eastAsia" w:ascii="Times New Roman" w:hAnsi="Times New Roman" w:eastAsia="仿宋" w:cs="Times New Roman"/>
          <w:sz w:val="24"/>
          <w:szCs w:val="24"/>
          <w:lang w:val="en-US" w:eastAsia="zh-CN"/>
        </w:rPr>
        <w:t>，倍数范围0.00~56.67倍。。</w:t>
      </w:r>
    </w:p>
    <w:p w14:paraId="62C75638">
      <w:pPr>
        <w:spacing w:line="240" w:lineRule="auto"/>
        <w:ind w:firstLine="482" w:firstLineChars="200"/>
        <w:rPr>
          <w:rFonts w:hint="eastAsia" w:ascii="Times New Roman" w:hAnsi="Times New Roman" w:eastAsia="仿宋" w:cs="Times New Roman"/>
          <w:sz w:val="24"/>
          <w:szCs w:val="24"/>
          <w:lang w:val="en-US" w:eastAsia="zh-CN"/>
        </w:rPr>
      </w:pPr>
      <w:r>
        <w:rPr>
          <w:rFonts w:hint="eastAsia" w:ascii="Times New Roman" w:hAnsi="Times New Roman" w:eastAsia="仿宋" w:cs="Times New Roman"/>
          <w:b/>
          <w:bCs/>
          <w:sz w:val="24"/>
          <w:szCs w:val="24"/>
          <w:lang w:val="en-US" w:eastAsia="zh-CN"/>
        </w:rPr>
        <w:t>真菌总数：</w:t>
      </w:r>
      <w:r>
        <w:rPr>
          <w:rFonts w:hint="eastAsia" w:ascii="Times New Roman" w:hAnsi="Times New Roman" w:eastAsia="仿宋" w:cs="Times New Roman"/>
          <w:sz w:val="24"/>
          <w:szCs w:val="24"/>
          <w:lang w:val="en-US" w:eastAsia="zh-CN"/>
        </w:rPr>
        <w:t>在</w:t>
      </w:r>
      <w:r>
        <w:rPr>
          <w:rFonts w:hint="eastAsia" w:ascii="Times New Roman" w:hAnsi="Times New Roman" w:eastAsia="仿宋" w:cs="Times New Roman"/>
          <w:b/>
          <w:bCs/>
          <w:sz w:val="24"/>
          <w:szCs w:val="24"/>
          <w:lang w:val="en-US" w:eastAsia="zh-CN"/>
        </w:rPr>
        <w:t>夏季</w:t>
      </w:r>
      <w:r>
        <w:rPr>
          <w:rFonts w:hint="eastAsia" w:ascii="Times New Roman" w:hAnsi="Times New Roman" w:eastAsia="仿宋" w:cs="Times New Roman"/>
          <w:sz w:val="24"/>
          <w:szCs w:val="24"/>
          <w:lang w:val="en-US" w:eastAsia="zh-CN"/>
        </w:rPr>
        <w:t>，大流量样品中，90.83%（109/120）的单次真菌总数结果低于LS的样品结果，差值范围-22050.00~3312.50 CFU/m</w:t>
      </w:r>
      <w:r>
        <w:rPr>
          <w:rFonts w:hint="eastAsia" w:ascii="Times New Roman" w:hAnsi="Times New Roman" w:eastAsia="仿宋" w:cs="Times New Roman"/>
          <w:sz w:val="24"/>
          <w:szCs w:val="24"/>
          <w:vertAlign w:val="superscript"/>
          <w:lang w:val="en-US" w:eastAsia="zh-CN"/>
        </w:rPr>
        <w:t>3</w:t>
      </w:r>
      <w:r>
        <w:rPr>
          <w:rFonts w:hint="eastAsia" w:ascii="Times New Roman" w:hAnsi="Times New Roman" w:eastAsia="仿宋" w:cs="Times New Roman"/>
          <w:sz w:val="24"/>
          <w:szCs w:val="24"/>
          <w:lang w:val="en-US" w:eastAsia="zh-CN"/>
        </w:rPr>
        <w:t>，倍数范围0.00~206.67倍；在</w:t>
      </w:r>
      <w:r>
        <w:rPr>
          <w:rFonts w:hint="eastAsia" w:ascii="Times New Roman" w:hAnsi="Times New Roman" w:eastAsia="仿宋" w:cs="Times New Roman"/>
          <w:b/>
          <w:bCs/>
          <w:sz w:val="24"/>
          <w:szCs w:val="24"/>
          <w:lang w:val="en-US" w:eastAsia="zh-CN"/>
        </w:rPr>
        <w:t>冬季</w:t>
      </w:r>
      <w:r>
        <w:rPr>
          <w:rFonts w:hint="eastAsia" w:ascii="Times New Roman" w:hAnsi="Times New Roman" w:eastAsia="仿宋" w:cs="Times New Roman"/>
          <w:sz w:val="24"/>
          <w:szCs w:val="24"/>
          <w:lang w:val="en-US" w:eastAsia="zh-CN"/>
        </w:rPr>
        <w:t>，大流量样品中，82.58%（109/120）的单次真菌总数结果低于LS的样品结果，差值范围-150.00~2070.83 CFU/m</w:t>
      </w:r>
      <w:r>
        <w:rPr>
          <w:rFonts w:hint="eastAsia" w:ascii="Times New Roman" w:hAnsi="Times New Roman" w:eastAsia="仿宋" w:cs="Times New Roman"/>
          <w:sz w:val="24"/>
          <w:szCs w:val="24"/>
          <w:vertAlign w:val="superscript"/>
          <w:lang w:val="en-US" w:eastAsia="zh-CN"/>
        </w:rPr>
        <w:t>3</w:t>
      </w:r>
      <w:r>
        <w:rPr>
          <w:rFonts w:hint="eastAsia" w:ascii="Times New Roman" w:hAnsi="Times New Roman" w:eastAsia="仿宋" w:cs="Times New Roman"/>
          <w:sz w:val="24"/>
          <w:szCs w:val="24"/>
          <w:lang w:val="en-US" w:eastAsia="zh-CN"/>
        </w:rPr>
        <w:t>，倍数范围0.00~166.67倍</w:t>
      </w:r>
      <w:r>
        <w:rPr>
          <w:rFonts w:hint="eastAsia" w:ascii="Times New Roman" w:hAnsi="Times New Roman" w:eastAsia="仿宋" w:cs="Times New Roman"/>
          <w:sz w:val="24"/>
          <w:szCs w:val="24"/>
        </w:rPr>
        <w:t>。</w:t>
      </w:r>
    </w:p>
    <w:p w14:paraId="144393CA">
      <w:pPr>
        <w:pStyle w:val="4"/>
        <w:spacing w:line="240" w:lineRule="auto"/>
        <w:ind w:firstLine="482"/>
        <w:rPr>
          <w:rFonts w:cs="Times New Roman"/>
        </w:rPr>
      </w:pPr>
      <w:bookmarkStart w:id="258" w:name="_Toc177563299"/>
      <w:bookmarkStart w:id="259" w:name="_Toc6561"/>
      <w:r>
        <w:rPr>
          <w:rFonts w:cs="Times New Roman"/>
        </w:rPr>
        <w:t>2</w:t>
      </w:r>
      <w:r>
        <w:rPr>
          <w:rFonts w:hint="default" w:cs="Times New Roman"/>
        </w:rPr>
        <w:t>）分层及整体检测结果比对</w:t>
      </w:r>
      <w:bookmarkEnd w:id="258"/>
      <w:bookmarkEnd w:id="259"/>
    </w:p>
    <w:p w14:paraId="7F896001">
      <w:pPr>
        <w:spacing w:line="240" w:lineRule="auto"/>
        <w:ind w:left="480"/>
        <w:rPr>
          <w:rFonts w:ascii="Times New Roman" w:hAnsi="Times New Roman" w:eastAsia="仿宋" w:cs="Times New Roman"/>
          <w:b/>
          <w:bCs/>
          <w:sz w:val="24"/>
          <w:szCs w:val="24"/>
        </w:rPr>
      </w:pPr>
      <w:r>
        <w:rPr>
          <w:rFonts w:hint="eastAsia" w:ascii="Times New Roman" w:hAnsi="Times New Roman" w:eastAsia="仿宋" w:cs="Times New Roman"/>
          <w:b/>
          <w:bCs/>
          <w:sz w:val="24"/>
          <w:szCs w:val="24"/>
        </w:rPr>
        <w:t>不同空间位置采样结果的分层比较：</w:t>
      </w:r>
    </w:p>
    <w:p w14:paraId="54350C56">
      <w:pPr>
        <w:spacing w:line="240" w:lineRule="auto"/>
        <w:ind w:firstLine="480" w:firstLineChars="200"/>
        <w:rPr>
          <w:rFonts w:ascii="Times New Roman" w:hAnsi="Times New Roman" w:eastAsia="仿宋" w:cs="Times New Roman"/>
          <w:sz w:val="24"/>
          <w:szCs w:val="24"/>
        </w:rPr>
      </w:pPr>
      <w:r>
        <w:rPr>
          <w:rFonts w:hint="eastAsia" w:ascii="Times New Roman" w:hAnsi="Times New Roman" w:eastAsia="仿宋" w:cs="Times New Roman"/>
          <w:sz w:val="24"/>
          <w:szCs w:val="24"/>
        </w:rPr>
        <w:t>以不同楼层进行分层，比较三种</w:t>
      </w:r>
      <w:r>
        <w:rPr>
          <w:rFonts w:hint="eastAsia" w:ascii="Times New Roman" w:hAnsi="Times New Roman" w:eastAsia="仿宋" w:cs="Times New Roman"/>
          <w:sz w:val="24"/>
          <w:szCs w:val="24"/>
          <w:lang w:val="en-US" w:eastAsia="zh-CN"/>
        </w:rPr>
        <w:t>设备</w:t>
      </w:r>
      <w:r>
        <w:rPr>
          <w:rFonts w:hint="eastAsia" w:ascii="Times New Roman" w:hAnsi="Times New Roman" w:eastAsia="仿宋" w:cs="Times New Roman"/>
          <w:sz w:val="24"/>
          <w:szCs w:val="24"/>
        </w:rPr>
        <w:t>检测结果平均值（表3表4）：</w:t>
      </w:r>
    </w:p>
    <w:p w14:paraId="37D3C995">
      <w:pPr>
        <w:spacing w:line="240" w:lineRule="auto"/>
        <w:ind w:firstLine="482" w:firstLineChars="200"/>
        <w:rPr>
          <w:rFonts w:hint="eastAsia" w:ascii="Times New Roman" w:hAnsi="Times New Roman" w:eastAsia="仿宋" w:cs="Times New Roman"/>
          <w:sz w:val="24"/>
          <w:szCs w:val="24"/>
        </w:rPr>
      </w:pPr>
      <w:r>
        <w:rPr>
          <w:rFonts w:hint="eastAsia" w:ascii="Times New Roman" w:hAnsi="Times New Roman" w:eastAsia="仿宋" w:cs="Times New Roman"/>
          <w:b/>
          <w:bCs/>
          <w:sz w:val="24"/>
          <w:szCs w:val="24"/>
          <w:lang w:val="en-US" w:eastAsia="zh-CN"/>
        </w:rPr>
        <w:t>细菌总数：</w:t>
      </w:r>
      <w:r>
        <w:rPr>
          <w:rFonts w:hint="eastAsia" w:ascii="Times New Roman" w:hAnsi="Times New Roman" w:eastAsia="仿宋" w:cs="Times New Roman"/>
          <w:sz w:val="24"/>
          <w:szCs w:val="24"/>
          <w:lang w:val="en-US" w:eastAsia="zh-CN"/>
        </w:rPr>
        <w:t>在</w:t>
      </w:r>
      <w:r>
        <w:rPr>
          <w:rFonts w:hint="eastAsia" w:ascii="Times New Roman" w:hAnsi="Times New Roman" w:eastAsia="仿宋" w:cs="Times New Roman"/>
          <w:b/>
          <w:bCs/>
          <w:sz w:val="24"/>
          <w:szCs w:val="24"/>
          <w:lang w:val="en-US" w:eastAsia="zh-CN"/>
        </w:rPr>
        <w:t>夏季</w:t>
      </w:r>
      <w:r>
        <w:rPr>
          <w:rFonts w:hint="eastAsia" w:ascii="Times New Roman" w:hAnsi="Times New Roman" w:eastAsia="仿宋" w:cs="Times New Roman"/>
          <w:sz w:val="24"/>
          <w:szCs w:val="24"/>
          <w:lang w:val="en-US" w:eastAsia="zh-CN"/>
        </w:rPr>
        <w:t>，</w:t>
      </w:r>
      <w:r>
        <w:rPr>
          <w:rFonts w:ascii="Times New Roman" w:hAnsi="Times New Roman" w:eastAsia="仿宋" w:cs="Times New Roman"/>
          <w:sz w:val="24"/>
          <w:szCs w:val="24"/>
        </w:rPr>
        <w:t>SKC法和</w:t>
      </w:r>
      <w:r>
        <w:rPr>
          <w:rFonts w:hint="eastAsia" w:ascii="Times New Roman" w:hAnsi="Times New Roman" w:eastAsia="仿宋" w:cs="Times New Roman"/>
          <w:sz w:val="24"/>
          <w:szCs w:val="24"/>
          <w:lang w:eastAsia="zh-CN"/>
        </w:rPr>
        <w:t>LS</w:t>
      </w:r>
      <w:r>
        <w:rPr>
          <w:rFonts w:hint="eastAsia" w:ascii="Times New Roman" w:hAnsi="Times New Roman" w:eastAsia="仿宋" w:cs="Times New Roman"/>
          <w:sz w:val="24"/>
          <w:szCs w:val="24"/>
        </w:rPr>
        <w:t>的样品</w:t>
      </w:r>
      <w:r>
        <w:rPr>
          <w:rFonts w:ascii="Times New Roman" w:hAnsi="Times New Roman" w:eastAsia="仿宋" w:cs="Times New Roman"/>
          <w:sz w:val="24"/>
          <w:szCs w:val="24"/>
        </w:rPr>
        <w:t>结果高于</w:t>
      </w:r>
      <w:r>
        <w:rPr>
          <w:rFonts w:hint="eastAsia" w:ascii="Times New Roman" w:hAnsi="Times New Roman" w:eastAsia="仿宋" w:cs="Times New Roman"/>
          <w:sz w:val="24"/>
          <w:szCs w:val="24"/>
          <w:lang w:eastAsia="zh-CN"/>
        </w:rPr>
        <w:t>大流量</w:t>
      </w:r>
      <w:r>
        <w:rPr>
          <w:rFonts w:hint="eastAsia" w:ascii="Times New Roman" w:hAnsi="Times New Roman" w:eastAsia="仿宋" w:cs="Times New Roman"/>
          <w:sz w:val="24"/>
          <w:szCs w:val="24"/>
        </w:rPr>
        <w:t>，差值分别是</w:t>
      </w:r>
      <w:r>
        <w:rPr>
          <w:rFonts w:hint="default" w:ascii="Times New Roman" w:hAnsi="Times New Roman" w:eastAsia="仿宋" w:cs="Times New Roman"/>
          <w:sz w:val="24"/>
          <w:szCs w:val="24"/>
          <w:lang w:val="en-US" w:eastAsia="zh-CN"/>
        </w:rPr>
        <w:t>5580.27</w:t>
      </w:r>
      <w:r>
        <w:rPr>
          <w:rFonts w:hint="eastAsia" w:ascii="Times New Roman" w:hAnsi="Times New Roman" w:eastAsia="仿宋" w:cs="Times New Roman"/>
          <w:sz w:val="24"/>
          <w:szCs w:val="24"/>
        </w:rPr>
        <w:t>和</w:t>
      </w:r>
      <w:r>
        <w:rPr>
          <w:rFonts w:hint="default" w:ascii="Times New Roman" w:hAnsi="Times New Roman" w:eastAsia="仿宋" w:cs="Times New Roman"/>
          <w:sz w:val="24"/>
          <w:szCs w:val="24"/>
          <w:lang w:val="en-US" w:eastAsia="zh-CN"/>
        </w:rPr>
        <w:t>928.76</w:t>
      </w:r>
      <w:r>
        <w:rPr>
          <w:rFonts w:hint="eastAsia" w:ascii="Times New Roman" w:hAnsi="Times New Roman" w:eastAsia="仿宋" w:cs="Times New Roman"/>
          <w:sz w:val="24"/>
          <w:szCs w:val="24"/>
        </w:rPr>
        <w:t>C</w:t>
      </w:r>
      <w:r>
        <w:rPr>
          <w:rFonts w:ascii="Times New Roman" w:hAnsi="Times New Roman" w:eastAsia="仿宋" w:cs="Times New Roman"/>
          <w:sz w:val="24"/>
          <w:szCs w:val="24"/>
        </w:rPr>
        <w:t>FU/</w:t>
      </w:r>
      <w:r>
        <w:rPr>
          <w:rFonts w:hint="eastAsia" w:ascii="Times New Roman" w:hAnsi="Times New Roman" w:eastAsia="仿宋" w:cs="Times New Roman"/>
          <w:sz w:val="24"/>
          <w:szCs w:val="24"/>
        </w:rPr>
        <w:t>m</w:t>
      </w:r>
      <w:r>
        <w:rPr>
          <w:rFonts w:ascii="Times New Roman" w:hAnsi="Times New Roman" w:eastAsia="仿宋" w:cs="Times New Roman"/>
          <w:sz w:val="24"/>
          <w:szCs w:val="24"/>
          <w:vertAlign w:val="superscript"/>
        </w:rPr>
        <w:t>3</w:t>
      </w:r>
      <w:r>
        <w:rPr>
          <w:rFonts w:hint="eastAsia" w:ascii="Times New Roman" w:hAnsi="Times New Roman" w:eastAsia="仿宋" w:cs="Times New Roman"/>
          <w:sz w:val="24"/>
          <w:szCs w:val="24"/>
        </w:rPr>
        <w:t>，</w:t>
      </w:r>
      <w:r>
        <w:rPr>
          <w:rFonts w:ascii="Times New Roman" w:hAnsi="Times New Roman" w:eastAsia="仿宋" w:cs="Times New Roman"/>
          <w:sz w:val="24"/>
          <w:szCs w:val="24"/>
        </w:rPr>
        <w:t>SKC法和</w:t>
      </w:r>
      <w:r>
        <w:rPr>
          <w:rFonts w:hint="eastAsia" w:ascii="Times New Roman" w:hAnsi="Times New Roman" w:eastAsia="仿宋" w:cs="Times New Roman"/>
          <w:sz w:val="24"/>
          <w:szCs w:val="24"/>
          <w:lang w:eastAsia="zh-CN"/>
        </w:rPr>
        <w:t>LS</w:t>
      </w:r>
      <w:r>
        <w:rPr>
          <w:rFonts w:ascii="Times New Roman" w:hAnsi="Times New Roman" w:eastAsia="仿宋" w:cs="Times New Roman"/>
          <w:sz w:val="24"/>
          <w:szCs w:val="24"/>
        </w:rPr>
        <w:t>结果</w:t>
      </w:r>
      <w:r>
        <w:rPr>
          <w:rFonts w:hint="eastAsia" w:ascii="Times New Roman" w:hAnsi="Times New Roman" w:eastAsia="仿宋" w:cs="Times New Roman"/>
          <w:sz w:val="24"/>
          <w:szCs w:val="24"/>
        </w:rPr>
        <w:t>分别是</w:t>
      </w:r>
      <w:r>
        <w:rPr>
          <w:rFonts w:hint="eastAsia" w:ascii="Times New Roman" w:hAnsi="Times New Roman" w:eastAsia="仿宋" w:cs="Times New Roman"/>
          <w:sz w:val="24"/>
          <w:szCs w:val="24"/>
          <w:lang w:eastAsia="zh-CN"/>
        </w:rPr>
        <w:t>大流量</w:t>
      </w:r>
      <w:r>
        <w:rPr>
          <w:rFonts w:hint="eastAsia" w:ascii="Times New Roman" w:hAnsi="Times New Roman" w:eastAsia="仿宋" w:cs="Times New Roman"/>
          <w:sz w:val="24"/>
          <w:szCs w:val="24"/>
        </w:rPr>
        <w:t>结果的</w:t>
      </w:r>
      <w:r>
        <w:rPr>
          <w:rFonts w:hint="default" w:ascii="Times New Roman" w:hAnsi="Times New Roman" w:eastAsia="仿宋" w:cs="Times New Roman"/>
          <w:sz w:val="24"/>
          <w:szCs w:val="24"/>
          <w:lang w:val="en-US" w:eastAsia="zh-CN"/>
        </w:rPr>
        <w:t>87.21</w:t>
      </w:r>
      <w:r>
        <w:rPr>
          <w:rFonts w:hint="eastAsia" w:ascii="Times New Roman" w:hAnsi="Times New Roman" w:eastAsia="仿宋" w:cs="Times New Roman"/>
          <w:sz w:val="24"/>
          <w:szCs w:val="24"/>
        </w:rPr>
        <w:t>和</w:t>
      </w:r>
      <w:r>
        <w:rPr>
          <w:rFonts w:hint="default" w:ascii="Times New Roman" w:hAnsi="Times New Roman" w:eastAsia="仿宋" w:cs="Times New Roman"/>
          <w:sz w:val="24"/>
          <w:szCs w:val="24"/>
          <w:lang w:val="en-US" w:eastAsia="zh-CN"/>
        </w:rPr>
        <w:t>15.35</w:t>
      </w:r>
      <w:r>
        <w:rPr>
          <w:rFonts w:hint="eastAsia" w:ascii="Times New Roman" w:hAnsi="Times New Roman" w:eastAsia="仿宋" w:cs="Times New Roman"/>
          <w:sz w:val="24"/>
          <w:szCs w:val="24"/>
        </w:rPr>
        <w:t>倍</w:t>
      </w:r>
      <w:r>
        <w:rPr>
          <w:rFonts w:hint="eastAsia" w:ascii="Times New Roman" w:hAnsi="Times New Roman" w:eastAsia="仿宋" w:cs="Times New Roman"/>
          <w:sz w:val="24"/>
          <w:szCs w:val="24"/>
          <w:lang w:eastAsia="zh-CN"/>
        </w:rPr>
        <w:t>；</w:t>
      </w:r>
      <w:r>
        <w:rPr>
          <w:rFonts w:hint="eastAsia" w:ascii="Times New Roman" w:hAnsi="Times New Roman" w:eastAsia="仿宋" w:cs="Times New Roman"/>
          <w:sz w:val="24"/>
          <w:szCs w:val="24"/>
          <w:lang w:val="en-US" w:eastAsia="zh-CN"/>
        </w:rPr>
        <w:t>在</w:t>
      </w:r>
      <w:r>
        <w:rPr>
          <w:rFonts w:hint="eastAsia" w:ascii="Times New Roman" w:hAnsi="Times New Roman" w:eastAsia="仿宋" w:cs="Times New Roman"/>
          <w:b/>
          <w:bCs/>
          <w:sz w:val="24"/>
          <w:szCs w:val="24"/>
          <w:lang w:val="en-US" w:eastAsia="zh-CN"/>
        </w:rPr>
        <w:t>冬季</w:t>
      </w:r>
      <w:r>
        <w:rPr>
          <w:rFonts w:hint="eastAsia" w:ascii="Times New Roman" w:hAnsi="Times New Roman" w:eastAsia="仿宋" w:cs="Times New Roman"/>
          <w:sz w:val="24"/>
          <w:szCs w:val="24"/>
          <w:lang w:val="en-US" w:eastAsia="zh-CN"/>
        </w:rPr>
        <w:t>，</w:t>
      </w:r>
      <w:r>
        <w:rPr>
          <w:rFonts w:ascii="Times New Roman" w:hAnsi="Times New Roman" w:eastAsia="仿宋" w:cs="Times New Roman"/>
          <w:sz w:val="24"/>
          <w:szCs w:val="24"/>
        </w:rPr>
        <w:t>SKC法和</w:t>
      </w:r>
      <w:r>
        <w:rPr>
          <w:rFonts w:hint="eastAsia" w:ascii="Times New Roman" w:hAnsi="Times New Roman" w:eastAsia="仿宋" w:cs="Times New Roman"/>
          <w:sz w:val="24"/>
          <w:szCs w:val="24"/>
          <w:lang w:eastAsia="zh-CN"/>
        </w:rPr>
        <w:t>LS</w:t>
      </w:r>
      <w:r>
        <w:rPr>
          <w:rFonts w:hint="eastAsia" w:ascii="Times New Roman" w:hAnsi="Times New Roman" w:eastAsia="仿宋" w:cs="Times New Roman"/>
          <w:sz w:val="24"/>
          <w:szCs w:val="24"/>
        </w:rPr>
        <w:t>的样品</w:t>
      </w:r>
      <w:r>
        <w:rPr>
          <w:rFonts w:ascii="Times New Roman" w:hAnsi="Times New Roman" w:eastAsia="仿宋" w:cs="Times New Roman"/>
          <w:sz w:val="24"/>
          <w:szCs w:val="24"/>
        </w:rPr>
        <w:t>结果高于</w:t>
      </w:r>
      <w:r>
        <w:rPr>
          <w:rFonts w:hint="eastAsia" w:ascii="Times New Roman" w:hAnsi="Times New Roman" w:eastAsia="仿宋" w:cs="Times New Roman"/>
          <w:sz w:val="24"/>
          <w:szCs w:val="24"/>
          <w:lang w:eastAsia="zh-CN"/>
        </w:rPr>
        <w:t>大流量</w:t>
      </w:r>
      <w:r>
        <w:rPr>
          <w:rFonts w:hint="eastAsia" w:ascii="Times New Roman" w:hAnsi="Times New Roman" w:eastAsia="仿宋" w:cs="Times New Roman"/>
          <w:sz w:val="24"/>
          <w:szCs w:val="24"/>
        </w:rPr>
        <w:t>，差值分别是</w:t>
      </w:r>
      <w:r>
        <w:rPr>
          <w:rFonts w:hint="default" w:ascii="Times New Roman" w:hAnsi="Times New Roman" w:eastAsia="仿宋" w:cs="Times New Roman"/>
          <w:sz w:val="24"/>
          <w:szCs w:val="24"/>
          <w:lang w:val="en-US" w:eastAsia="zh-CN"/>
        </w:rPr>
        <w:t>455.20</w:t>
      </w:r>
      <w:r>
        <w:rPr>
          <w:rFonts w:hint="eastAsia" w:ascii="Times New Roman" w:hAnsi="Times New Roman" w:eastAsia="仿宋" w:cs="Times New Roman"/>
          <w:sz w:val="24"/>
          <w:szCs w:val="24"/>
        </w:rPr>
        <w:t>和</w:t>
      </w:r>
      <w:r>
        <w:rPr>
          <w:rFonts w:hint="default" w:ascii="Times New Roman" w:hAnsi="Times New Roman" w:eastAsia="仿宋" w:cs="Times New Roman"/>
          <w:sz w:val="24"/>
          <w:szCs w:val="24"/>
          <w:lang w:val="en-US" w:eastAsia="zh-CN"/>
        </w:rPr>
        <w:t>201.60</w:t>
      </w:r>
      <w:r>
        <w:rPr>
          <w:rFonts w:hint="eastAsia" w:ascii="Times New Roman" w:hAnsi="Times New Roman" w:eastAsia="仿宋" w:cs="Times New Roman"/>
          <w:sz w:val="24"/>
          <w:szCs w:val="24"/>
        </w:rPr>
        <w:t>C</w:t>
      </w:r>
      <w:r>
        <w:rPr>
          <w:rFonts w:ascii="Times New Roman" w:hAnsi="Times New Roman" w:eastAsia="仿宋" w:cs="Times New Roman"/>
          <w:sz w:val="24"/>
          <w:szCs w:val="24"/>
        </w:rPr>
        <w:t>FU/</w:t>
      </w:r>
      <w:r>
        <w:rPr>
          <w:rFonts w:hint="eastAsia" w:ascii="Times New Roman" w:hAnsi="Times New Roman" w:eastAsia="仿宋" w:cs="Times New Roman"/>
          <w:sz w:val="24"/>
          <w:szCs w:val="24"/>
        </w:rPr>
        <w:t>m</w:t>
      </w:r>
      <w:r>
        <w:rPr>
          <w:rFonts w:ascii="Times New Roman" w:hAnsi="Times New Roman" w:eastAsia="仿宋" w:cs="Times New Roman"/>
          <w:sz w:val="24"/>
          <w:szCs w:val="24"/>
          <w:vertAlign w:val="superscript"/>
        </w:rPr>
        <w:t>3</w:t>
      </w:r>
      <w:r>
        <w:rPr>
          <w:rFonts w:hint="eastAsia" w:ascii="Times New Roman" w:hAnsi="Times New Roman" w:eastAsia="仿宋" w:cs="Times New Roman"/>
          <w:sz w:val="24"/>
          <w:szCs w:val="24"/>
        </w:rPr>
        <w:t>，</w:t>
      </w:r>
      <w:r>
        <w:rPr>
          <w:rFonts w:ascii="Times New Roman" w:hAnsi="Times New Roman" w:eastAsia="仿宋" w:cs="Times New Roman"/>
          <w:sz w:val="24"/>
          <w:szCs w:val="24"/>
        </w:rPr>
        <w:t>SKC法和</w:t>
      </w:r>
      <w:r>
        <w:rPr>
          <w:rFonts w:hint="eastAsia" w:ascii="Times New Roman" w:hAnsi="Times New Roman" w:eastAsia="仿宋" w:cs="Times New Roman"/>
          <w:sz w:val="24"/>
          <w:szCs w:val="24"/>
          <w:lang w:eastAsia="zh-CN"/>
        </w:rPr>
        <w:t>LS</w:t>
      </w:r>
      <w:r>
        <w:rPr>
          <w:rFonts w:ascii="Times New Roman" w:hAnsi="Times New Roman" w:eastAsia="仿宋" w:cs="Times New Roman"/>
          <w:sz w:val="24"/>
          <w:szCs w:val="24"/>
        </w:rPr>
        <w:t>结果</w:t>
      </w:r>
      <w:r>
        <w:rPr>
          <w:rFonts w:hint="eastAsia" w:ascii="Times New Roman" w:hAnsi="Times New Roman" w:eastAsia="仿宋" w:cs="Times New Roman"/>
          <w:sz w:val="24"/>
          <w:szCs w:val="24"/>
        </w:rPr>
        <w:t>分别是</w:t>
      </w:r>
      <w:r>
        <w:rPr>
          <w:rFonts w:hint="eastAsia" w:ascii="Times New Roman" w:hAnsi="Times New Roman" w:eastAsia="仿宋" w:cs="Times New Roman"/>
          <w:sz w:val="24"/>
          <w:szCs w:val="24"/>
          <w:lang w:eastAsia="zh-CN"/>
        </w:rPr>
        <w:t>大流量</w:t>
      </w:r>
      <w:r>
        <w:rPr>
          <w:rFonts w:hint="eastAsia" w:ascii="Times New Roman" w:hAnsi="Times New Roman" w:eastAsia="仿宋" w:cs="Times New Roman"/>
          <w:sz w:val="24"/>
          <w:szCs w:val="24"/>
        </w:rPr>
        <w:t>结果的</w:t>
      </w:r>
      <w:r>
        <w:rPr>
          <w:rFonts w:hint="default" w:ascii="Times New Roman" w:hAnsi="Times New Roman" w:eastAsia="仿宋" w:cs="Times New Roman"/>
          <w:sz w:val="24"/>
          <w:szCs w:val="24"/>
          <w:lang w:val="en-US" w:eastAsia="zh-CN"/>
        </w:rPr>
        <w:t>23.14</w:t>
      </w:r>
      <w:r>
        <w:rPr>
          <w:rFonts w:hint="eastAsia" w:ascii="Times New Roman" w:hAnsi="Times New Roman" w:eastAsia="仿宋" w:cs="Times New Roman"/>
          <w:sz w:val="24"/>
          <w:szCs w:val="24"/>
        </w:rPr>
        <w:t>和</w:t>
      </w:r>
      <w:r>
        <w:rPr>
          <w:rFonts w:hint="default" w:ascii="Times New Roman" w:hAnsi="Times New Roman" w:eastAsia="仿宋" w:cs="Times New Roman"/>
          <w:sz w:val="24"/>
          <w:szCs w:val="24"/>
          <w:lang w:val="en-US" w:eastAsia="zh-CN"/>
        </w:rPr>
        <w:t>10.81</w:t>
      </w:r>
      <w:r>
        <w:rPr>
          <w:rFonts w:hint="eastAsia" w:ascii="Times New Roman" w:hAnsi="Times New Roman" w:eastAsia="仿宋" w:cs="Times New Roman"/>
          <w:sz w:val="24"/>
          <w:szCs w:val="24"/>
        </w:rPr>
        <w:t>倍</w:t>
      </w:r>
    </w:p>
    <w:p w14:paraId="57CFF140">
      <w:pPr>
        <w:spacing w:line="240" w:lineRule="auto"/>
        <w:ind w:firstLine="482" w:firstLineChars="200"/>
        <w:rPr>
          <w:rFonts w:hint="eastAsia" w:ascii="Times New Roman" w:hAnsi="Times New Roman" w:eastAsia="仿宋" w:cs="Times New Roman"/>
          <w:sz w:val="24"/>
          <w:szCs w:val="24"/>
        </w:rPr>
      </w:pPr>
      <w:r>
        <w:rPr>
          <w:rFonts w:hint="eastAsia" w:ascii="Times New Roman" w:hAnsi="Times New Roman" w:eastAsia="仿宋" w:cs="Times New Roman"/>
          <w:b/>
          <w:bCs/>
          <w:sz w:val="24"/>
          <w:szCs w:val="24"/>
          <w:lang w:val="en-US" w:eastAsia="zh-CN"/>
        </w:rPr>
        <w:t>真菌总数：</w:t>
      </w:r>
      <w:r>
        <w:rPr>
          <w:rFonts w:hint="eastAsia" w:ascii="Times New Roman" w:hAnsi="Times New Roman" w:eastAsia="仿宋" w:cs="Times New Roman"/>
          <w:sz w:val="24"/>
          <w:szCs w:val="24"/>
          <w:lang w:val="en-US" w:eastAsia="zh-CN"/>
        </w:rPr>
        <w:t>在</w:t>
      </w:r>
      <w:r>
        <w:rPr>
          <w:rFonts w:hint="eastAsia" w:ascii="Times New Roman" w:hAnsi="Times New Roman" w:eastAsia="仿宋" w:cs="Times New Roman"/>
          <w:b/>
          <w:bCs/>
          <w:sz w:val="24"/>
          <w:szCs w:val="24"/>
          <w:lang w:val="en-US" w:eastAsia="zh-CN"/>
        </w:rPr>
        <w:t>夏季</w:t>
      </w:r>
      <w:r>
        <w:rPr>
          <w:rFonts w:hint="eastAsia" w:ascii="Times New Roman" w:hAnsi="Times New Roman" w:eastAsia="仿宋" w:cs="Times New Roman"/>
          <w:sz w:val="24"/>
          <w:szCs w:val="24"/>
          <w:lang w:val="en-US" w:eastAsia="zh-CN"/>
        </w:rPr>
        <w:t>，</w:t>
      </w:r>
      <w:r>
        <w:rPr>
          <w:rFonts w:ascii="Times New Roman" w:hAnsi="Times New Roman" w:eastAsia="仿宋" w:cs="Times New Roman"/>
          <w:sz w:val="24"/>
          <w:szCs w:val="24"/>
        </w:rPr>
        <w:t>SKC法和</w:t>
      </w:r>
      <w:r>
        <w:rPr>
          <w:rFonts w:hint="eastAsia" w:ascii="Times New Roman" w:hAnsi="Times New Roman" w:eastAsia="仿宋" w:cs="Times New Roman"/>
          <w:sz w:val="24"/>
          <w:szCs w:val="24"/>
          <w:lang w:eastAsia="zh-CN"/>
        </w:rPr>
        <w:t>LS</w:t>
      </w:r>
      <w:r>
        <w:rPr>
          <w:rFonts w:hint="eastAsia" w:ascii="Times New Roman" w:hAnsi="Times New Roman" w:eastAsia="仿宋" w:cs="Times New Roman"/>
          <w:sz w:val="24"/>
          <w:szCs w:val="24"/>
        </w:rPr>
        <w:t>的样品</w:t>
      </w:r>
      <w:r>
        <w:rPr>
          <w:rFonts w:ascii="Times New Roman" w:hAnsi="Times New Roman" w:eastAsia="仿宋" w:cs="Times New Roman"/>
          <w:sz w:val="24"/>
          <w:szCs w:val="24"/>
        </w:rPr>
        <w:t>结果高于</w:t>
      </w:r>
      <w:r>
        <w:rPr>
          <w:rFonts w:hint="eastAsia" w:ascii="Times New Roman" w:hAnsi="Times New Roman" w:eastAsia="仿宋" w:cs="Times New Roman"/>
          <w:sz w:val="24"/>
          <w:szCs w:val="24"/>
          <w:lang w:eastAsia="zh-CN"/>
        </w:rPr>
        <w:t>大流量</w:t>
      </w:r>
      <w:r>
        <w:rPr>
          <w:rFonts w:hint="eastAsia" w:ascii="Times New Roman" w:hAnsi="Times New Roman" w:eastAsia="仿宋" w:cs="Times New Roman"/>
          <w:sz w:val="24"/>
          <w:szCs w:val="24"/>
        </w:rPr>
        <w:t>，差值分别是</w:t>
      </w:r>
      <w:r>
        <w:rPr>
          <w:rFonts w:hint="default" w:ascii="Times New Roman" w:hAnsi="Times New Roman" w:eastAsia="仿宋" w:cs="Times New Roman"/>
          <w:sz w:val="24"/>
          <w:szCs w:val="24"/>
          <w:lang w:val="en-US" w:eastAsia="zh-CN"/>
        </w:rPr>
        <w:t>54885.72</w:t>
      </w:r>
      <w:r>
        <w:rPr>
          <w:rFonts w:hint="eastAsia" w:ascii="Times New Roman" w:hAnsi="Times New Roman" w:eastAsia="仿宋" w:cs="Times New Roman"/>
          <w:sz w:val="24"/>
          <w:szCs w:val="24"/>
        </w:rPr>
        <w:t>和</w:t>
      </w:r>
      <w:r>
        <w:rPr>
          <w:rFonts w:hint="default" w:ascii="Times New Roman" w:hAnsi="Times New Roman" w:eastAsia="仿宋" w:cs="Times New Roman"/>
          <w:sz w:val="24"/>
          <w:szCs w:val="24"/>
          <w:lang w:val="en-US" w:eastAsia="zh-CN"/>
        </w:rPr>
        <w:t>240.30</w:t>
      </w:r>
      <w:r>
        <w:rPr>
          <w:rFonts w:hint="eastAsia" w:ascii="Times New Roman" w:hAnsi="Times New Roman" w:eastAsia="仿宋" w:cs="Times New Roman"/>
          <w:sz w:val="24"/>
          <w:szCs w:val="24"/>
        </w:rPr>
        <w:t>C</w:t>
      </w:r>
      <w:r>
        <w:rPr>
          <w:rFonts w:ascii="Times New Roman" w:hAnsi="Times New Roman" w:eastAsia="仿宋" w:cs="Times New Roman"/>
          <w:sz w:val="24"/>
          <w:szCs w:val="24"/>
        </w:rPr>
        <w:t>FU/</w:t>
      </w:r>
      <w:r>
        <w:rPr>
          <w:rFonts w:hint="eastAsia" w:ascii="Times New Roman" w:hAnsi="Times New Roman" w:eastAsia="仿宋" w:cs="Times New Roman"/>
          <w:sz w:val="24"/>
          <w:szCs w:val="24"/>
        </w:rPr>
        <w:t>m</w:t>
      </w:r>
      <w:r>
        <w:rPr>
          <w:rFonts w:ascii="Times New Roman" w:hAnsi="Times New Roman" w:eastAsia="仿宋" w:cs="Times New Roman"/>
          <w:sz w:val="24"/>
          <w:szCs w:val="24"/>
          <w:vertAlign w:val="superscript"/>
        </w:rPr>
        <w:t>3</w:t>
      </w:r>
      <w:r>
        <w:rPr>
          <w:rFonts w:hint="eastAsia" w:ascii="Times New Roman" w:hAnsi="Times New Roman" w:eastAsia="仿宋" w:cs="Times New Roman"/>
          <w:sz w:val="24"/>
          <w:szCs w:val="24"/>
        </w:rPr>
        <w:t>，</w:t>
      </w:r>
      <w:r>
        <w:rPr>
          <w:rFonts w:ascii="Times New Roman" w:hAnsi="Times New Roman" w:eastAsia="仿宋" w:cs="Times New Roman"/>
          <w:sz w:val="24"/>
          <w:szCs w:val="24"/>
        </w:rPr>
        <w:t>SKC法和</w:t>
      </w:r>
      <w:r>
        <w:rPr>
          <w:rFonts w:hint="eastAsia" w:ascii="Times New Roman" w:hAnsi="Times New Roman" w:eastAsia="仿宋" w:cs="Times New Roman"/>
          <w:sz w:val="24"/>
          <w:szCs w:val="24"/>
          <w:lang w:eastAsia="zh-CN"/>
        </w:rPr>
        <w:t>LS</w:t>
      </w:r>
      <w:r>
        <w:rPr>
          <w:rFonts w:ascii="Times New Roman" w:hAnsi="Times New Roman" w:eastAsia="仿宋" w:cs="Times New Roman"/>
          <w:sz w:val="24"/>
          <w:szCs w:val="24"/>
        </w:rPr>
        <w:t>结果</w:t>
      </w:r>
      <w:r>
        <w:rPr>
          <w:rFonts w:hint="eastAsia" w:ascii="Times New Roman" w:hAnsi="Times New Roman" w:eastAsia="仿宋" w:cs="Times New Roman"/>
          <w:sz w:val="24"/>
          <w:szCs w:val="24"/>
        </w:rPr>
        <w:t>分别是</w:t>
      </w:r>
      <w:r>
        <w:rPr>
          <w:rFonts w:hint="eastAsia" w:ascii="Times New Roman" w:hAnsi="Times New Roman" w:eastAsia="仿宋" w:cs="Times New Roman"/>
          <w:sz w:val="24"/>
          <w:szCs w:val="24"/>
          <w:lang w:eastAsia="zh-CN"/>
        </w:rPr>
        <w:t>大流量</w:t>
      </w:r>
      <w:r>
        <w:rPr>
          <w:rFonts w:hint="eastAsia" w:ascii="Times New Roman" w:hAnsi="Times New Roman" w:eastAsia="仿宋" w:cs="Times New Roman"/>
          <w:sz w:val="24"/>
          <w:szCs w:val="24"/>
        </w:rPr>
        <w:t>结果的</w:t>
      </w:r>
      <w:r>
        <w:rPr>
          <w:rFonts w:hint="default" w:ascii="Times New Roman" w:hAnsi="Times New Roman" w:eastAsia="仿宋" w:cs="Times New Roman"/>
          <w:sz w:val="24"/>
          <w:szCs w:val="24"/>
          <w:lang w:val="en-US" w:eastAsia="zh-CN"/>
        </w:rPr>
        <w:t>257.14</w:t>
      </w:r>
      <w:r>
        <w:rPr>
          <w:rFonts w:hint="eastAsia" w:ascii="Times New Roman" w:hAnsi="Times New Roman" w:eastAsia="仿宋" w:cs="Times New Roman"/>
          <w:sz w:val="24"/>
          <w:szCs w:val="24"/>
        </w:rPr>
        <w:t>和</w:t>
      </w:r>
      <w:r>
        <w:rPr>
          <w:rFonts w:hint="default" w:ascii="Times New Roman" w:hAnsi="Times New Roman" w:eastAsia="仿宋" w:cs="Times New Roman"/>
          <w:sz w:val="24"/>
          <w:szCs w:val="24"/>
          <w:lang w:val="en-US" w:eastAsia="zh-CN"/>
        </w:rPr>
        <w:t xml:space="preserve">2.12 </w:t>
      </w:r>
      <w:r>
        <w:rPr>
          <w:rFonts w:hint="eastAsia" w:ascii="Times New Roman" w:hAnsi="Times New Roman" w:eastAsia="仿宋" w:cs="Times New Roman"/>
          <w:sz w:val="24"/>
          <w:szCs w:val="24"/>
        </w:rPr>
        <w:t>倍</w:t>
      </w:r>
      <w:r>
        <w:rPr>
          <w:rFonts w:hint="eastAsia" w:ascii="Times New Roman" w:hAnsi="Times New Roman" w:eastAsia="仿宋" w:cs="Times New Roman"/>
          <w:sz w:val="24"/>
          <w:szCs w:val="24"/>
          <w:lang w:eastAsia="zh-CN"/>
        </w:rPr>
        <w:t>；</w:t>
      </w:r>
      <w:r>
        <w:rPr>
          <w:rFonts w:hint="eastAsia" w:ascii="Times New Roman" w:hAnsi="Times New Roman" w:eastAsia="仿宋" w:cs="Times New Roman"/>
          <w:sz w:val="24"/>
          <w:szCs w:val="24"/>
          <w:lang w:val="en-US" w:eastAsia="zh-CN"/>
        </w:rPr>
        <w:t>在</w:t>
      </w:r>
      <w:r>
        <w:rPr>
          <w:rFonts w:hint="eastAsia" w:ascii="Times New Roman" w:hAnsi="Times New Roman" w:eastAsia="仿宋" w:cs="Times New Roman"/>
          <w:b/>
          <w:bCs/>
          <w:sz w:val="24"/>
          <w:szCs w:val="24"/>
          <w:lang w:val="en-US" w:eastAsia="zh-CN"/>
        </w:rPr>
        <w:t>冬季</w:t>
      </w:r>
      <w:r>
        <w:rPr>
          <w:rFonts w:hint="eastAsia" w:ascii="Times New Roman" w:hAnsi="Times New Roman" w:eastAsia="仿宋" w:cs="Times New Roman"/>
          <w:sz w:val="24"/>
          <w:szCs w:val="24"/>
          <w:lang w:val="en-US" w:eastAsia="zh-CN"/>
        </w:rPr>
        <w:t>，</w:t>
      </w:r>
      <w:r>
        <w:rPr>
          <w:rFonts w:ascii="Times New Roman" w:hAnsi="Times New Roman" w:eastAsia="仿宋" w:cs="Times New Roman"/>
          <w:sz w:val="24"/>
          <w:szCs w:val="24"/>
        </w:rPr>
        <w:t>SKC法和</w:t>
      </w:r>
      <w:r>
        <w:rPr>
          <w:rFonts w:hint="eastAsia" w:ascii="Times New Roman" w:hAnsi="Times New Roman" w:eastAsia="仿宋" w:cs="Times New Roman"/>
          <w:sz w:val="24"/>
          <w:szCs w:val="24"/>
          <w:lang w:eastAsia="zh-CN"/>
        </w:rPr>
        <w:t>LS</w:t>
      </w:r>
      <w:r>
        <w:rPr>
          <w:rFonts w:hint="eastAsia" w:ascii="Times New Roman" w:hAnsi="Times New Roman" w:eastAsia="仿宋" w:cs="Times New Roman"/>
          <w:sz w:val="24"/>
          <w:szCs w:val="24"/>
        </w:rPr>
        <w:t>的样品</w:t>
      </w:r>
      <w:r>
        <w:rPr>
          <w:rFonts w:ascii="Times New Roman" w:hAnsi="Times New Roman" w:eastAsia="仿宋" w:cs="Times New Roman"/>
          <w:sz w:val="24"/>
          <w:szCs w:val="24"/>
        </w:rPr>
        <w:t>结果高于</w:t>
      </w:r>
      <w:r>
        <w:rPr>
          <w:rFonts w:hint="eastAsia" w:ascii="Times New Roman" w:hAnsi="Times New Roman" w:eastAsia="仿宋" w:cs="Times New Roman"/>
          <w:sz w:val="24"/>
          <w:szCs w:val="24"/>
          <w:lang w:eastAsia="zh-CN"/>
        </w:rPr>
        <w:t>大流量</w:t>
      </w:r>
      <w:r>
        <w:rPr>
          <w:rFonts w:hint="eastAsia" w:ascii="Times New Roman" w:hAnsi="Times New Roman" w:eastAsia="仿宋" w:cs="Times New Roman"/>
          <w:sz w:val="24"/>
          <w:szCs w:val="24"/>
        </w:rPr>
        <w:t>，差值分别是</w:t>
      </w:r>
      <w:r>
        <w:rPr>
          <w:rFonts w:hint="default" w:ascii="Times New Roman" w:hAnsi="Times New Roman" w:eastAsia="仿宋" w:cs="Times New Roman"/>
          <w:sz w:val="24"/>
          <w:szCs w:val="24"/>
          <w:lang w:val="en-US" w:eastAsia="zh-CN"/>
        </w:rPr>
        <w:t>503.78</w:t>
      </w:r>
      <w:r>
        <w:rPr>
          <w:rFonts w:hint="eastAsia" w:ascii="Times New Roman" w:hAnsi="Times New Roman" w:eastAsia="仿宋" w:cs="Times New Roman"/>
          <w:sz w:val="24"/>
          <w:szCs w:val="24"/>
        </w:rPr>
        <w:t>和</w:t>
      </w:r>
      <w:r>
        <w:rPr>
          <w:rFonts w:hint="default" w:ascii="Times New Roman" w:hAnsi="Times New Roman" w:eastAsia="仿宋" w:cs="Times New Roman"/>
          <w:sz w:val="24"/>
          <w:szCs w:val="24"/>
          <w:lang w:val="en-US" w:eastAsia="zh-CN"/>
        </w:rPr>
        <w:t>321.90</w:t>
      </w:r>
      <w:r>
        <w:rPr>
          <w:rFonts w:hint="eastAsia" w:ascii="Times New Roman" w:hAnsi="Times New Roman" w:eastAsia="仿宋" w:cs="Times New Roman"/>
          <w:sz w:val="24"/>
          <w:szCs w:val="24"/>
        </w:rPr>
        <w:t>C</w:t>
      </w:r>
      <w:r>
        <w:rPr>
          <w:rFonts w:ascii="Times New Roman" w:hAnsi="Times New Roman" w:eastAsia="仿宋" w:cs="Times New Roman"/>
          <w:sz w:val="24"/>
          <w:szCs w:val="24"/>
        </w:rPr>
        <w:t>FU/</w:t>
      </w:r>
      <w:r>
        <w:rPr>
          <w:rFonts w:hint="eastAsia" w:ascii="Times New Roman" w:hAnsi="Times New Roman" w:eastAsia="仿宋" w:cs="Times New Roman"/>
          <w:sz w:val="24"/>
          <w:szCs w:val="24"/>
        </w:rPr>
        <w:t>m</w:t>
      </w:r>
      <w:r>
        <w:rPr>
          <w:rFonts w:ascii="Times New Roman" w:hAnsi="Times New Roman" w:eastAsia="仿宋" w:cs="Times New Roman"/>
          <w:sz w:val="24"/>
          <w:szCs w:val="24"/>
          <w:vertAlign w:val="superscript"/>
        </w:rPr>
        <w:t>3</w:t>
      </w:r>
      <w:r>
        <w:rPr>
          <w:rFonts w:hint="eastAsia" w:ascii="Times New Roman" w:hAnsi="Times New Roman" w:eastAsia="仿宋" w:cs="Times New Roman"/>
          <w:sz w:val="24"/>
          <w:szCs w:val="24"/>
        </w:rPr>
        <w:t>，</w:t>
      </w:r>
      <w:r>
        <w:rPr>
          <w:rFonts w:ascii="Times New Roman" w:hAnsi="Times New Roman" w:eastAsia="仿宋" w:cs="Times New Roman"/>
          <w:sz w:val="24"/>
          <w:szCs w:val="24"/>
        </w:rPr>
        <w:t>SKC法和</w:t>
      </w:r>
      <w:r>
        <w:rPr>
          <w:rFonts w:hint="eastAsia" w:ascii="Times New Roman" w:hAnsi="Times New Roman" w:eastAsia="仿宋" w:cs="Times New Roman"/>
          <w:sz w:val="24"/>
          <w:szCs w:val="24"/>
          <w:lang w:eastAsia="zh-CN"/>
        </w:rPr>
        <w:t>LS</w:t>
      </w:r>
      <w:r>
        <w:rPr>
          <w:rFonts w:ascii="Times New Roman" w:hAnsi="Times New Roman" w:eastAsia="仿宋" w:cs="Times New Roman"/>
          <w:sz w:val="24"/>
          <w:szCs w:val="24"/>
        </w:rPr>
        <w:t>结果</w:t>
      </w:r>
      <w:r>
        <w:rPr>
          <w:rFonts w:hint="eastAsia" w:ascii="Times New Roman" w:hAnsi="Times New Roman" w:eastAsia="仿宋" w:cs="Times New Roman"/>
          <w:sz w:val="24"/>
          <w:szCs w:val="24"/>
        </w:rPr>
        <w:t>分别是</w:t>
      </w:r>
      <w:r>
        <w:rPr>
          <w:rFonts w:hint="eastAsia" w:ascii="Times New Roman" w:hAnsi="Times New Roman" w:eastAsia="仿宋" w:cs="Times New Roman"/>
          <w:sz w:val="24"/>
          <w:szCs w:val="24"/>
          <w:lang w:eastAsia="zh-CN"/>
        </w:rPr>
        <w:t>大流量</w:t>
      </w:r>
      <w:r>
        <w:rPr>
          <w:rFonts w:hint="eastAsia" w:ascii="Times New Roman" w:hAnsi="Times New Roman" w:eastAsia="仿宋" w:cs="Times New Roman"/>
          <w:sz w:val="24"/>
          <w:szCs w:val="24"/>
        </w:rPr>
        <w:t>结果的</w:t>
      </w:r>
      <w:r>
        <w:rPr>
          <w:rFonts w:hint="default" w:ascii="Times New Roman" w:hAnsi="Times New Roman" w:eastAsia="仿宋" w:cs="Times New Roman"/>
          <w:sz w:val="24"/>
          <w:szCs w:val="24"/>
          <w:lang w:val="en-US" w:eastAsia="zh-CN"/>
        </w:rPr>
        <w:t>29.90</w:t>
      </w:r>
      <w:r>
        <w:rPr>
          <w:rFonts w:hint="eastAsia" w:ascii="Times New Roman" w:hAnsi="Times New Roman" w:eastAsia="仿宋" w:cs="Times New Roman"/>
          <w:sz w:val="24"/>
          <w:szCs w:val="24"/>
        </w:rPr>
        <w:t>和</w:t>
      </w:r>
      <w:r>
        <w:rPr>
          <w:rFonts w:hint="default" w:ascii="Times New Roman" w:hAnsi="Times New Roman" w:eastAsia="仿宋" w:cs="Times New Roman"/>
          <w:sz w:val="24"/>
          <w:szCs w:val="24"/>
          <w:lang w:val="en-US" w:eastAsia="zh-CN"/>
        </w:rPr>
        <w:t>19.47</w:t>
      </w:r>
      <w:r>
        <w:rPr>
          <w:rFonts w:hint="eastAsia" w:ascii="Times New Roman" w:hAnsi="Times New Roman" w:eastAsia="仿宋" w:cs="Times New Roman"/>
          <w:sz w:val="24"/>
          <w:szCs w:val="24"/>
        </w:rPr>
        <w:t>倍</w:t>
      </w:r>
    </w:p>
    <w:p w14:paraId="435049C3">
      <w:pPr>
        <w:spacing w:line="240" w:lineRule="auto"/>
        <w:ind w:left="480"/>
        <w:rPr>
          <w:rFonts w:ascii="Times New Roman" w:hAnsi="Times New Roman" w:eastAsia="仿宋" w:cs="Times New Roman"/>
          <w:b/>
          <w:bCs/>
          <w:sz w:val="24"/>
          <w:szCs w:val="24"/>
        </w:rPr>
      </w:pPr>
      <w:r>
        <w:rPr>
          <w:rFonts w:hint="eastAsia" w:ascii="Times New Roman" w:hAnsi="Times New Roman" w:eastAsia="仿宋" w:cs="Times New Roman"/>
          <w:b/>
          <w:bCs/>
          <w:sz w:val="24"/>
          <w:szCs w:val="24"/>
        </w:rPr>
        <w:t>不同</w:t>
      </w:r>
      <w:r>
        <w:rPr>
          <w:rFonts w:hint="eastAsia" w:ascii="Times New Roman" w:hAnsi="Times New Roman" w:eastAsia="仿宋" w:cs="Times New Roman"/>
          <w:b/>
          <w:bCs/>
          <w:sz w:val="24"/>
          <w:szCs w:val="24"/>
          <w:lang w:val="en-US" w:eastAsia="zh-CN"/>
        </w:rPr>
        <w:t>时间</w:t>
      </w:r>
      <w:r>
        <w:rPr>
          <w:rFonts w:hint="eastAsia" w:ascii="Times New Roman" w:hAnsi="Times New Roman" w:eastAsia="仿宋" w:cs="Times New Roman"/>
          <w:b/>
          <w:bCs/>
          <w:sz w:val="24"/>
          <w:szCs w:val="24"/>
        </w:rPr>
        <w:t>采样结果的分层比较：</w:t>
      </w:r>
    </w:p>
    <w:p w14:paraId="3516A1AF">
      <w:pPr>
        <w:spacing w:line="240" w:lineRule="auto"/>
        <w:ind w:firstLine="480" w:firstLineChars="200"/>
        <w:rPr>
          <w:rFonts w:hint="eastAsia" w:ascii="Times New Roman" w:hAnsi="Times New Roman" w:eastAsia="仿宋" w:cs="Times New Roman"/>
          <w:bCs/>
          <w:sz w:val="24"/>
          <w:szCs w:val="24"/>
        </w:rPr>
      </w:pPr>
      <w:r>
        <w:rPr>
          <w:rFonts w:hint="eastAsia" w:ascii="Times New Roman" w:hAnsi="Times New Roman" w:eastAsia="仿宋" w:cs="Times New Roman"/>
          <w:bCs/>
          <w:sz w:val="24"/>
          <w:szCs w:val="24"/>
        </w:rPr>
        <w:t>将三种方法两个季节的细菌总数</w:t>
      </w:r>
      <w:r>
        <w:rPr>
          <w:rFonts w:hint="eastAsia" w:ascii="Times New Roman" w:hAnsi="Times New Roman" w:eastAsia="仿宋" w:cs="Times New Roman"/>
          <w:bCs/>
          <w:sz w:val="24"/>
          <w:szCs w:val="24"/>
          <w:lang w:eastAsia="zh-CN"/>
        </w:rPr>
        <w:t>、</w:t>
      </w:r>
      <w:r>
        <w:rPr>
          <w:rFonts w:hint="eastAsia" w:ascii="Times New Roman" w:hAnsi="Times New Roman" w:eastAsia="仿宋" w:cs="Times New Roman"/>
          <w:bCs/>
          <w:sz w:val="24"/>
          <w:szCs w:val="24"/>
          <w:lang w:val="en-US" w:eastAsia="zh-CN"/>
        </w:rPr>
        <w:t>真菌</w:t>
      </w:r>
      <w:r>
        <w:rPr>
          <w:rFonts w:hint="eastAsia" w:ascii="Times New Roman" w:hAnsi="Times New Roman" w:eastAsia="仿宋" w:cs="Times New Roman"/>
          <w:bCs/>
          <w:sz w:val="24"/>
          <w:szCs w:val="24"/>
        </w:rPr>
        <w:t>检测结果绘制箱线图（图1</w:t>
      </w:r>
      <w:r>
        <w:rPr>
          <w:rFonts w:hint="eastAsia" w:ascii="Times New Roman" w:hAnsi="Times New Roman" w:eastAsia="仿宋" w:cs="Times New Roman"/>
          <w:bCs/>
          <w:sz w:val="24"/>
          <w:szCs w:val="24"/>
          <w:lang w:eastAsia="zh-CN"/>
        </w:rPr>
        <w:t>、</w:t>
      </w:r>
      <w:r>
        <w:rPr>
          <w:rFonts w:hint="eastAsia" w:ascii="Times New Roman" w:hAnsi="Times New Roman" w:eastAsia="仿宋" w:cs="Times New Roman"/>
          <w:bCs/>
          <w:sz w:val="24"/>
          <w:szCs w:val="24"/>
          <w:lang w:val="en-US" w:eastAsia="zh-CN"/>
        </w:rPr>
        <w:t>图2</w:t>
      </w:r>
      <w:r>
        <w:rPr>
          <w:rFonts w:hint="eastAsia" w:ascii="Times New Roman" w:hAnsi="Times New Roman" w:eastAsia="仿宋" w:cs="Times New Roman"/>
          <w:bCs/>
          <w:sz w:val="24"/>
          <w:szCs w:val="24"/>
        </w:rPr>
        <w:t>），</w:t>
      </w:r>
      <w:r>
        <w:rPr>
          <w:rFonts w:hint="eastAsia" w:ascii="Times New Roman" w:hAnsi="Times New Roman" w:eastAsia="仿宋" w:cs="Times New Roman"/>
          <w:bCs/>
          <w:sz w:val="24"/>
          <w:szCs w:val="24"/>
          <w:lang w:val="en-US" w:eastAsia="zh-CN"/>
        </w:rPr>
        <w:t>并进行Mann-Whitney U 检验，</w:t>
      </w:r>
      <w:r>
        <w:rPr>
          <w:rFonts w:hint="eastAsia" w:ascii="Times New Roman" w:hAnsi="Times New Roman" w:eastAsia="仿宋" w:cs="Times New Roman"/>
          <w:bCs/>
          <w:sz w:val="24"/>
          <w:szCs w:val="24"/>
        </w:rPr>
        <w:t>结果显示：</w:t>
      </w:r>
    </w:p>
    <w:p w14:paraId="66970C36">
      <w:pPr>
        <w:spacing w:line="240" w:lineRule="auto"/>
        <w:ind w:firstLine="480" w:firstLineChars="200"/>
        <w:rPr>
          <w:rFonts w:hint="eastAsia" w:ascii="Times New Roman" w:hAnsi="Times New Roman" w:eastAsia="仿宋" w:cs="Times New Roman"/>
          <w:bCs/>
          <w:sz w:val="24"/>
          <w:szCs w:val="24"/>
          <w:lang w:val="en-US" w:eastAsia="zh-CN"/>
        </w:rPr>
      </w:pPr>
      <w:r>
        <w:rPr>
          <w:rFonts w:hint="eastAsia" w:ascii="Times New Roman" w:hAnsi="Times New Roman" w:eastAsia="仿宋" w:cs="Times New Roman"/>
          <w:bCs/>
          <w:sz w:val="24"/>
          <w:szCs w:val="24"/>
          <w:lang w:val="en-US" w:eastAsia="zh-CN"/>
        </w:rPr>
        <w:t>细菌总数：大流量的样品细菌总数分布结果在秋冬间无差异（</w:t>
      </w:r>
      <w:r>
        <w:rPr>
          <w:rFonts w:hint="eastAsia" w:ascii="Times New Roman" w:hAnsi="Times New Roman" w:eastAsia="仿宋" w:cs="Times New Roman"/>
          <w:bCs/>
          <w:i/>
          <w:iCs/>
          <w:sz w:val="24"/>
          <w:szCs w:val="24"/>
          <w:lang w:val="en-US" w:eastAsia="zh-CN"/>
        </w:rPr>
        <w:t xml:space="preserve">P </w:t>
      </w:r>
      <w:r>
        <w:rPr>
          <w:rFonts w:hint="eastAsia" w:ascii="Times New Roman" w:hAnsi="Times New Roman" w:eastAsia="仿宋" w:cs="Times New Roman"/>
          <w:bCs/>
          <w:sz w:val="24"/>
          <w:szCs w:val="24"/>
          <w:lang w:val="en-US" w:eastAsia="zh-CN"/>
        </w:rPr>
        <w:t>&gt; 0.05），</w:t>
      </w:r>
      <w:r>
        <w:rPr>
          <w:rFonts w:ascii="Times New Roman" w:hAnsi="Times New Roman" w:eastAsia="仿宋" w:cs="Times New Roman"/>
          <w:sz w:val="24"/>
          <w:szCs w:val="24"/>
        </w:rPr>
        <w:t>SKC法和</w:t>
      </w:r>
      <w:r>
        <w:rPr>
          <w:rFonts w:hint="eastAsia" w:ascii="Times New Roman" w:hAnsi="Times New Roman" w:eastAsia="仿宋" w:cs="Times New Roman"/>
          <w:sz w:val="24"/>
          <w:szCs w:val="24"/>
          <w:lang w:eastAsia="zh-CN"/>
        </w:rPr>
        <w:t>LS</w:t>
      </w:r>
      <w:r>
        <w:rPr>
          <w:rFonts w:ascii="Times New Roman" w:hAnsi="Times New Roman" w:eastAsia="仿宋" w:cs="Times New Roman"/>
          <w:sz w:val="24"/>
          <w:szCs w:val="24"/>
        </w:rPr>
        <w:t>结果</w:t>
      </w:r>
      <w:r>
        <w:rPr>
          <w:rFonts w:hint="eastAsia" w:ascii="Times New Roman" w:hAnsi="Times New Roman" w:eastAsia="仿宋" w:cs="Times New Roman"/>
          <w:sz w:val="24"/>
          <w:szCs w:val="24"/>
          <w:lang w:val="en-US" w:eastAsia="zh-CN"/>
        </w:rPr>
        <w:t>在秋冬间有差异</w:t>
      </w:r>
      <w:r>
        <w:rPr>
          <w:rFonts w:hint="eastAsia" w:ascii="Times New Roman" w:hAnsi="Times New Roman" w:eastAsia="仿宋" w:cs="Times New Roman"/>
          <w:bCs/>
          <w:sz w:val="24"/>
          <w:szCs w:val="24"/>
          <w:lang w:val="en-US" w:eastAsia="zh-CN"/>
        </w:rPr>
        <w:t>（</w:t>
      </w:r>
      <w:r>
        <w:rPr>
          <w:rFonts w:hint="eastAsia" w:ascii="Times New Roman" w:hAnsi="Times New Roman" w:eastAsia="仿宋" w:cs="Times New Roman"/>
          <w:bCs/>
          <w:i/>
          <w:iCs/>
          <w:sz w:val="24"/>
          <w:szCs w:val="24"/>
          <w:lang w:val="en-US" w:eastAsia="zh-CN"/>
        </w:rPr>
        <w:t xml:space="preserve">P &lt; </w:t>
      </w:r>
      <w:r>
        <w:rPr>
          <w:rFonts w:hint="eastAsia" w:ascii="Times New Roman" w:hAnsi="Times New Roman" w:eastAsia="仿宋" w:cs="Times New Roman"/>
          <w:bCs/>
          <w:sz w:val="24"/>
          <w:szCs w:val="24"/>
          <w:lang w:val="en-US" w:eastAsia="zh-CN"/>
        </w:rPr>
        <w:t>0.05）</w:t>
      </w:r>
    </w:p>
    <w:p w14:paraId="212755B0">
      <w:pPr>
        <w:spacing w:line="240" w:lineRule="auto"/>
        <w:ind w:firstLine="480" w:firstLineChars="200"/>
        <w:rPr>
          <w:rFonts w:hint="default" w:ascii="Times New Roman" w:hAnsi="Times New Roman" w:eastAsia="仿宋" w:cs="Times New Roman"/>
          <w:bCs/>
          <w:sz w:val="24"/>
          <w:szCs w:val="24"/>
          <w:lang w:val="en-US" w:eastAsia="zh-CN"/>
        </w:rPr>
      </w:pPr>
      <w:r>
        <w:rPr>
          <w:rFonts w:hint="eastAsia" w:ascii="Times New Roman" w:hAnsi="Times New Roman" w:eastAsia="仿宋" w:cs="Times New Roman"/>
          <w:bCs/>
          <w:sz w:val="24"/>
          <w:szCs w:val="24"/>
          <w:lang w:val="en-US" w:eastAsia="zh-CN"/>
        </w:rPr>
        <w:t>细菌总数：大流量</w:t>
      </w:r>
      <w:r>
        <w:rPr>
          <w:rFonts w:ascii="Times New Roman" w:hAnsi="Times New Roman" w:eastAsia="仿宋" w:cs="Times New Roman"/>
          <w:sz w:val="24"/>
          <w:szCs w:val="24"/>
        </w:rPr>
        <w:t>和</w:t>
      </w:r>
      <w:r>
        <w:rPr>
          <w:rFonts w:hint="eastAsia" w:ascii="Times New Roman" w:hAnsi="Times New Roman" w:eastAsia="仿宋" w:cs="Times New Roman"/>
          <w:sz w:val="24"/>
          <w:szCs w:val="24"/>
          <w:lang w:eastAsia="zh-CN"/>
        </w:rPr>
        <w:t>LS</w:t>
      </w:r>
      <w:r>
        <w:rPr>
          <w:rFonts w:hint="eastAsia" w:ascii="Times New Roman" w:hAnsi="Times New Roman" w:eastAsia="仿宋" w:cs="Times New Roman"/>
          <w:bCs/>
          <w:sz w:val="24"/>
          <w:szCs w:val="24"/>
          <w:lang w:val="en-US" w:eastAsia="zh-CN"/>
        </w:rPr>
        <w:t>的样品真菌总数分布结果在秋冬间无差异（</w:t>
      </w:r>
      <w:r>
        <w:rPr>
          <w:rFonts w:hint="eastAsia" w:ascii="Times New Roman" w:hAnsi="Times New Roman" w:eastAsia="仿宋" w:cs="Times New Roman"/>
          <w:bCs/>
          <w:i/>
          <w:iCs/>
          <w:sz w:val="24"/>
          <w:szCs w:val="24"/>
          <w:lang w:val="en-US" w:eastAsia="zh-CN"/>
        </w:rPr>
        <w:t xml:space="preserve">P </w:t>
      </w:r>
      <w:r>
        <w:rPr>
          <w:rFonts w:hint="eastAsia" w:ascii="Times New Roman" w:hAnsi="Times New Roman" w:eastAsia="仿宋" w:cs="Times New Roman"/>
          <w:bCs/>
          <w:sz w:val="24"/>
          <w:szCs w:val="24"/>
          <w:lang w:val="en-US" w:eastAsia="zh-CN"/>
        </w:rPr>
        <w:t>&gt; 0.05），</w:t>
      </w:r>
      <w:r>
        <w:rPr>
          <w:rFonts w:ascii="Times New Roman" w:hAnsi="Times New Roman" w:eastAsia="仿宋" w:cs="Times New Roman"/>
          <w:sz w:val="24"/>
          <w:szCs w:val="24"/>
        </w:rPr>
        <w:t>SKC法结果</w:t>
      </w:r>
      <w:r>
        <w:rPr>
          <w:rFonts w:hint="eastAsia" w:ascii="Times New Roman" w:hAnsi="Times New Roman" w:eastAsia="仿宋" w:cs="Times New Roman"/>
          <w:sz w:val="24"/>
          <w:szCs w:val="24"/>
          <w:lang w:val="en-US" w:eastAsia="zh-CN"/>
        </w:rPr>
        <w:t>在秋冬间有差异</w:t>
      </w:r>
      <w:r>
        <w:rPr>
          <w:rFonts w:hint="eastAsia" w:ascii="Times New Roman" w:hAnsi="Times New Roman" w:eastAsia="仿宋" w:cs="Times New Roman"/>
          <w:bCs/>
          <w:sz w:val="24"/>
          <w:szCs w:val="24"/>
          <w:lang w:val="en-US" w:eastAsia="zh-CN"/>
        </w:rPr>
        <w:t>（</w:t>
      </w:r>
      <w:r>
        <w:rPr>
          <w:rFonts w:hint="eastAsia" w:ascii="Times New Roman" w:hAnsi="Times New Roman" w:eastAsia="仿宋" w:cs="Times New Roman"/>
          <w:bCs/>
          <w:i/>
          <w:iCs/>
          <w:sz w:val="24"/>
          <w:szCs w:val="24"/>
          <w:lang w:val="en-US" w:eastAsia="zh-CN"/>
        </w:rPr>
        <w:t xml:space="preserve">P &lt; </w:t>
      </w:r>
      <w:r>
        <w:rPr>
          <w:rFonts w:hint="eastAsia" w:ascii="Times New Roman" w:hAnsi="Times New Roman" w:eastAsia="仿宋" w:cs="Times New Roman"/>
          <w:bCs/>
          <w:sz w:val="24"/>
          <w:szCs w:val="24"/>
          <w:lang w:val="en-US" w:eastAsia="zh-CN"/>
        </w:rPr>
        <w:t>0.05）</w:t>
      </w:r>
    </w:p>
    <w:p w14:paraId="0A9239B9">
      <w:pPr>
        <w:spacing w:line="240" w:lineRule="auto"/>
        <w:ind w:firstLine="482" w:firstLineChars="200"/>
        <w:rPr>
          <w:rFonts w:hint="eastAsia" w:ascii="Times New Roman" w:hAnsi="Times New Roman" w:eastAsia="仿宋" w:cs="Times New Roman"/>
          <w:b/>
          <w:sz w:val="24"/>
          <w:szCs w:val="24"/>
        </w:rPr>
      </w:pPr>
      <w:r>
        <w:rPr>
          <w:rFonts w:hint="eastAsia" w:ascii="Times New Roman" w:hAnsi="Times New Roman" w:eastAsia="仿宋" w:cs="Times New Roman"/>
          <w:b/>
          <w:sz w:val="24"/>
          <w:szCs w:val="24"/>
        </w:rPr>
        <w:t>整体而言，三种设备的检测结果存在系统性偏差。在绝大多数情况下，无论是分层（按楼层、采样位点）还是整体比较，SKC测得的细菌和真菌浓度最高，</w:t>
      </w:r>
      <w:r>
        <w:rPr>
          <w:rFonts w:hint="eastAsia" w:ascii="Times New Roman" w:hAnsi="Times New Roman" w:eastAsia="仿宋" w:cs="Times New Roman"/>
          <w:b/>
          <w:sz w:val="24"/>
          <w:szCs w:val="24"/>
          <w:lang w:val="en-US" w:eastAsia="zh-CN"/>
        </w:rPr>
        <w:t>LS</w:t>
      </w:r>
      <w:r>
        <w:rPr>
          <w:rFonts w:hint="eastAsia" w:ascii="Times New Roman" w:hAnsi="Times New Roman" w:eastAsia="仿宋" w:cs="Times New Roman"/>
          <w:b/>
          <w:sz w:val="24"/>
          <w:szCs w:val="24"/>
        </w:rPr>
        <w:t>次之，大流量测得的结果普遍显著偏低。配对样本t检验显示，大流量法与</w:t>
      </w:r>
      <w:r>
        <w:rPr>
          <w:rFonts w:hint="eastAsia" w:ascii="Times New Roman" w:hAnsi="Times New Roman" w:eastAsia="仿宋" w:cs="Times New Roman"/>
          <w:b/>
          <w:sz w:val="24"/>
          <w:szCs w:val="24"/>
          <w:lang w:val="en-US" w:eastAsia="zh-CN"/>
        </w:rPr>
        <w:t>LS</w:t>
      </w:r>
      <w:r>
        <w:rPr>
          <w:rFonts w:hint="eastAsia" w:ascii="Times New Roman" w:hAnsi="Times New Roman" w:eastAsia="仿宋" w:cs="Times New Roman"/>
          <w:b/>
          <w:sz w:val="24"/>
          <w:szCs w:val="24"/>
        </w:rPr>
        <w:t>的单次检测结果存在显著差异（</w:t>
      </w:r>
      <w:r>
        <w:rPr>
          <w:rFonts w:hint="eastAsia" w:ascii="Times New Roman" w:hAnsi="Times New Roman" w:eastAsia="仿宋" w:cs="Times New Roman"/>
          <w:bCs/>
          <w:i/>
          <w:iCs/>
          <w:sz w:val="24"/>
          <w:szCs w:val="24"/>
          <w:lang w:val="en-US" w:eastAsia="zh-CN"/>
        </w:rPr>
        <w:t>P</w:t>
      </w:r>
      <w:r>
        <w:rPr>
          <w:rFonts w:hint="eastAsia" w:ascii="Times New Roman" w:hAnsi="Times New Roman" w:eastAsia="仿宋" w:cs="Times New Roman"/>
          <w:b/>
          <w:sz w:val="24"/>
          <w:szCs w:val="24"/>
        </w:rPr>
        <w:t>&lt;0.01）。</w:t>
      </w:r>
    </w:p>
    <w:p w14:paraId="41C4B769">
      <w:pPr>
        <w:spacing w:line="240" w:lineRule="auto"/>
        <w:ind w:firstLine="482" w:firstLineChars="200"/>
        <w:rPr>
          <w:rFonts w:hint="default" w:ascii="Times New Roman" w:hAnsi="Times New Roman" w:eastAsia="仿宋" w:cs="Times New Roman"/>
          <w:b/>
          <w:sz w:val="24"/>
          <w:szCs w:val="24"/>
          <w:lang w:val="en-US" w:eastAsia="zh-CN"/>
        </w:rPr>
      </w:pPr>
      <w:r>
        <w:rPr>
          <w:rFonts w:hint="eastAsia" w:ascii="Times New Roman" w:hAnsi="Times New Roman" w:eastAsia="仿宋" w:cs="Times New Roman"/>
          <w:b/>
          <w:sz w:val="24"/>
          <w:szCs w:val="24"/>
        </w:rPr>
        <w:t>从受季节影响程度看，大流量的细菌和真菌总数在夏、冬季之间无显著差异（</w:t>
      </w:r>
      <w:r>
        <w:rPr>
          <w:rFonts w:hint="eastAsia" w:ascii="Times New Roman" w:hAnsi="Times New Roman" w:eastAsia="仿宋" w:cs="Times New Roman"/>
          <w:b/>
          <w:i/>
          <w:iCs/>
          <w:sz w:val="24"/>
          <w:szCs w:val="24"/>
        </w:rPr>
        <w:t>P</w:t>
      </w:r>
      <w:r>
        <w:rPr>
          <w:rFonts w:hint="eastAsia" w:ascii="Times New Roman" w:hAnsi="Times New Roman" w:eastAsia="仿宋" w:cs="Times New Roman"/>
          <w:b/>
          <w:sz w:val="24"/>
          <w:szCs w:val="24"/>
        </w:rPr>
        <w:t>&gt;0.05），而SKC和</w:t>
      </w:r>
      <w:r>
        <w:rPr>
          <w:rFonts w:hint="eastAsia" w:ascii="Times New Roman" w:hAnsi="Times New Roman" w:eastAsia="仿宋" w:cs="Times New Roman"/>
          <w:b/>
          <w:sz w:val="24"/>
          <w:szCs w:val="24"/>
          <w:lang w:val="en-US" w:eastAsia="zh-CN"/>
        </w:rPr>
        <w:t>LS</w:t>
      </w:r>
      <w:r>
        <w:rPr>
          <w:rFonts w:hint="eastAsia" w:ascii="Times New Roman" w:hAnsi="Times New Roman" w:eastAsia="仿宋" w:cs="Times New Roman"/>
          <w:b/>
          <w:sz w:val="24"/>
          <w:szCs w:val="24"/>
        </w:rPr>
        <w:t>的结果则表现出显著的季节性差异（</w:t>
      </w:r>
      <w:r>
        <w:rPr>
          <w:rFonts w:hint="eastAsia" w:ascii="Times New Roman" w:hAnsi="Times New Roman" w:eastAsia="仿宋" w:cs="Times New Roman"/>
          <w:b/>
          <w:i/>
          <w:iCs/>
          <w:sz w:val="24"/>
          <w:szCs w:val="24"/>
        </w:rPr>
        <w:t>P</w:t>
      </w:r>
      <w:r>
        <w:rPr>
          <w:rFonts w:hint="eastAsia" w:ascii="Times New Roman" w:hAnsi="Times New Roman" w:eastAsia="仿宋" w:cs="Times New Roman"/>
          <w:b/>
          <w:sz w:val="24"/>
          <w:szCs w:val="24"/>
        </w:rPr>
        <w:t>&lt;0.05）。这表明，在液体气旋采样原理下，大流量设备的设计可能使其读数受环境温湿度等季节性因素干扰更小。</w:t>
      </w:r>
    </w:p>
    <w:p w14:paraId="0E3D24F1">
      <w:pPr>
        <w:pStyle w:val="3"/>
        <w:spacing w:line="240" w:lineRule="auto"/>
        <w:rPr>
          <w:rFonts w:eastAsia="仿宋" w:cs="Times New Roman"/>
          <w:szCs w:val="24"/>
        </w:rPr>
      </w:pPr>
      <w:bookmarkStart w:id="260" w:name="_Toc177563300"/>
      <w:bookmarkStart w:id="261" w:name="_Toc172211046"/>
      <w:bookmarkStart w:id="262" w:name="_Toc12565"/>
      <w:r>
        <w:rPr>
          <w:rFonts w:eastAsia="仿宋" w:cs="Times New Roman"/>
          <w:szCs w:val="24"/>
        </w:rPr>
        <w:t>（3）稳定性分析</w:t>
      </w:r>
      <w:bookmarkEnd w:id="260"/>
      <w:bookmarkEnd w:id="261"/>
      <w:bookmarkEnd w:id="262"/>
    </w:p>
    <w:p w14:paraId="15D5973C">
      <w:pPr>
        <w:spacing w:line="240" w:lineRule="auto"/>
        <w:ind w:firstLine="480" w:firstLineChars="200"/>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以相对标准偏差（RSD）为指标，评估各设备在相同采样条件下多次测量结果的一致性（即精密度）。</w:t>
      </w:r>
    </w:p>
    <w:p w14:paraId="7CE6E6B7">
      <w:pPr>
        <w:spacing w:line="240" w:lineRule="auto"/>
        <w:ind w:firstLine="480" w:firstLineChars="200"/>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细菌总数</w:t>
      </w:r>
      <w:r>
        <w:rPr>
          <w:rFonts w:hint="eastAsia" w:ascii="Times New Roman" w:hAnsi="Times New Roman" w:eastAsia="仿宋" w:cs="Times New Roman"/>
          <w:sz w:val="24"/>
          <w:szCs w:val="24"/>
          <w:lang w:eastAsia="zh-CN"/>
        </w:rPr>
        <w:t>：</w:t>
      </w:r>
      <w:r>
        <w:rPr>
          <w:rFonts w:hint="eastAsia" w:ascii="Times New Roman" w:hAnsi="Times New Roman" w:eastAsia="仿宋" w:cs="Times New Roman"/>
          <w:sz w:val="24"/>
          <w:szCs w:val="24"/>
          <w:lang w:val="en-US" w:eastAsia="zh-CN"/>
        </w:rPr>
        <w:t>在夏季，</w:t>
      </w:r>
      <w:r>
        <w:rPr>
          <w:rFonts w:hint="eastAsia" w:ascii="Times New Roman" w:hAnsi="Times New Roman" w:eastAsia="仿宋" w:cs="Times New Roman"/>
          <w:sz w:val="24"/>
          <w:szCs w:val="24"/>
        </w:rPr>
        <w:t>不同采样时间、采样位置，</w:t>
      </w:r>
      <w:r>
        <w:rPr>
          <w:rFonts w:hint="eastAsia" w:ascii="Times New Roman" w:hAnsi="Times New Roman" w:eastAsia="仿宋" w:cs="Times New Roman"/>
          <w:sz w:val="24"/>
          <w:szCs w:val="24"/>
          <w:lang w:eastAsia="zh-CN"/>
        </w:rPr>
        <w:t>大流量</w:t>
      </w:r>
      <w:r>
        <w:rPr>
          <w:rFonts w:hint="eastAsia" w:ascii="Times New Roman" w:hAnsi="Times New Roman" w:eastAsia="仿宋" w:cs="Times New Roman"/>
          <w:sz w:val="24"/>
          <w:szCs w:val="24"/>
        </w:rPr>
        <w:t>的样品总体RSD为371.90%，高于SKC法的213.37%，但低于</w:t>
      </w:r>
      <w:r>
        <w:rPr>
          <w:rFonts w:hint="eastAsia" w:ascii="Times New Roman" w:hAnsi="Times New Roman" w:eastAsia="仿宋" w:cs="Times New Roman"/>
          <w:sz w:val="24"/>
          <w:szCs w:val="24"/>
          <w:lang w:eastAsia="zh-CN"/>
        </w:rPr>
        <w:t>LS</w:t>
      </w:r>
      <w:r>
        <w:rPr>
          <w:rFonts w:hint="eastAsia" w:ascii="Times New Roman" w:hAnsi="Times New Roman" w:eastAsia="仿宋" w:cs="Times New Roman"/>
          <w:sz w:val="24"/>
          <w:szCs w:val="24"/>
        </w:rPr>
        <w:t>的</w:t>
      </w:r>
      <w:r>
        <w:rPr>
          <w:rFonts w:hint="default" w:ascii="Times New Roman" w:hAnsi="Times New Roman" w:eastAsia="仿宋" w:cs="Times New Roman"/>
          <w:sz w:val="24"/>
          <w:szCs w:val="24"/>
          <w:lang w:val="en-US" w:eastAsia="zh-CN"/>
        </w:rPr>
        <w:t>385.97</w:t>
      </w:r>
      <w:r>
        <w:rPr>
          <w:rFonts w:hint="eastAsia" w:ascii="Times New Roman" w:hAnsi="Times New Roman" w:eastAsia="仿宋" w:cs="Times New Roman"/>
          <w:sz w:val="24"/>
          <w:szCs w:val="24"/>
        </w:rPr>
        <w:t>%；</w:t>
      </w:r>
      <w:r>
        <w:rPr>
          <w:rFonts w:hint="eastAsia" w:ascii="Times New Roman" w:hAnsi="Times New Roman" w:eastAsia="仿宋" w:cs="Times New Roman"/>
          <w:sz w:val="24"/>
          <w:szCs w:val="24"/>
          <w:lang w:val="en-US" w:eastAsia="zh-CN"/>
        </w:rPr>
        <w:t>在冬季，</w:t>
      </w:r>
      <w:r>
        <w:rPr>
          <w:rFonts w:hint="eastAsia" w:ascii="Times New Roman" w:hAnsi="Times New Roman" w:eastAsia="仿宋" w:cs="Times New Roman"/>
          <w:sz w:val="24"/>
          <w:szCs w:val="24"/>
        </w:rPr>
        <w:t>不同采样时间、采样位置，</w:t>
      </w:r>
      <w:r>
        <w:rPr>
          <w:rFonts w:hint="eastAsia" w:ascii="Times New Roman" w:hAnsi="Times New Roman" w:eastAsia="仿宋" w:cs="Times New Roman"/>
          <w:sz w:val="24"/>
          <w:szCs w:val="24"/>
          <w:lang w:eastAsia="zh-CN"/>
        </w:rPr>
        <w:t>大流量</w:t>
      </w:r>
      <w:r>
        <w:rPr>
          <w:rFonts w:hint="eastAsia" w:ascii="Times New Roman" w:hAnsi="Times New Roman" w:eastAsia="仿宋" w:cs="Times New Roman"/>
          <w:sz w:val="24"/>
          <w:szCs w:val="24"/>
        </w:rPr>
        <w:t>的样品总体RSD为</w:t>
      </w:r>
      <w:r>
        <w:rPr>
          <w:rFonts w:hint="eastAsia" w:ascii="Times New Roman" w:hAnsi="Times New Roman" w:eastAsia="仿宋" w:cs="Times New Roman"/>
          <w:sz w:val="24"/>
          <w:szCs w:val="24"/>
          <w:lang w:val="en-US" w:eastAsia="zh-CN"/>
        </w:rPr>
        <w:t>142.22</w:t>
      </w:r>
      <w:r>
        <w:rPr>
          <w:rFonts w:hint="eastAsia" w:ascii="Times New Roman" w:hAnsi="Times New Roman" w:eastAsia="仿宋" w:cs="Times New Roman"/>
          <w:sz w:val="24"/>
          <w:szCs w:val="24"/>
        </w:rPr>
        <w:t>%，</w:t>
      </w:r>
      <w:r>
        <w:rPr>
          <w:rFonts w:hint="eastAsia" w:ascii="Times New Roman" w:hAnsi="Times New Roman" w:eastAsia="仿宋" w:cs="Times New Roman"/>
          <w:sz w:val="24"/>
          <w:szCs w:val="24"/>
          <w:lang w:val="en-US" w:eastAsia="zh-CN"/>
        </w:rPr>
        <w:t>低于</w:t>
      </w:r>
      <w:r>
        <w:rPr>
          <w:rFonts w:hint="eastAsia" w:ascii="Times New Roman" w:hAnsi="Times New Roman" w:eastAsia="仿宋" w:cs="Times New Roman"/>
          <w:sz w:val="24"/>
          <w:szCs w:val="24"/>
        </w:rPr>
        <w:t>于SKC法的</w:t>
      </w:r>
      <w:r>
        <w:rPr>
          <w:rFonts w:hint="default" w:ascii="Times New Roman" w:hAnsi="Times New Roman" w:eastAsia="仿宋" w:cs="Times New Roman"/>
          <w:sz w:val="24"/>
          <w:szCs w:val="24"/>
          <w:lang w:val="en-US" w:eastAsia="zh-CN"/>
        </w:rPr>
        <w:t xml:space="preserve">212.78 </w:t>
      </w:r>
      <w:r>
        <w:rPr>
          <w:rFonts w:hint="eastAsia" w:ascii="Times New Roman" w:hAnsi="Times New Roman" w:eastAsia="仿宋" w:cs="Times New Roman"/>
          <w:sz w:val="24"/>
          <w:szCs w:val="24"/>
        </w:rPr>
        <w:t>%，但</w:t>
      </w:r>
      <w:r>
        <w:rPr>
          <w:rFonts w:hint="eastAsia" w:ascii="Times New Roman" w:hAnsi="Times New Roman" w:eastAsia="仿宋" w:cs="Times New Roman"/>
          <w:sz w:val="24"/>
          <w:szCs w:val="24"/>
          <w:lang w:val="en-US" w:eastAsia="zh-CN"/>
        </w:rPr>
        <w:t>高</w:t>
      </w:r>
      <w:r>
        <w:rPr>
          <w:rFonts w:hint="eastAsia" w:ascii="Times New Roman" w:hAnsi="Times New Roman" w:eastAsia="仿宋" w:cs="Times New Roman"/>
          <w:sz w:val="24"/>
          <w:szCs w:val="24"/>
        </w:rPr>
        <w:t>于</w:t>
      </w:r>
      <w:r>
        <w:rPr>
          <w:rFonts w:hint="eastAsia" w:ascii="Times New Roman" w:hAnsi="Times New Roman" w:eastAsia="仿宋" w:cs="Times New Roman"/>
          <w:sz w:val="24"/>
          <w:szCs w:val="24"/>
          <w:lang w:eastAsia="zh-CN"/>
        </w:rPr>
        <w:t>LS</w:t>
      </w:r>
      <w:r>
        <w:rPr>
          <w:rFonts w:hint="eastAsia" w:ascii="Times New Roman" w:hAnsi="Times New Roman" w:eastAsia="仿宋" w:cs="Times New Roman"/>
          <w:sz w:val="24"/>
          <w:szCs w:val="24"/>
        </w:rPr>
        <w:t>的</w:t>
      </w:r>
      <w:r>
        <w:rPr>
          <w:rFonts w:hint="default" w:ascii="Times New Roman" w:hAnsi="Times New Roman" w:eastAsia="仿宋" w:cs="Times New Roman"/>
          <w:sz w:val="24"/>
          <w:szCs w:val="24"/>
          <w:lang w:val="en-US" w:eastAsia="zh-CN"/>
        </w:rPr>
        <w:t>143.12</w:t>
      </w:r>
      <w:r>
        <w:rPr>
          <w:rFonts w:hint="eastAsia" w:ascii="Times New Roman" w:hAnsi="Times New Roman" w:eastAsia="仿宋" w:cs="Times New Roman"/>
          <w:sz w:val="24"/>
          <w:szCs w:val="24"/>
        </w:rPr>
        <w:t>%</w:t>
      </w:r>
    </w:p>
    <w:p w14:paraId="66FDBF61">
      <w:pPr>
        <w:spacing w:line="240" w:lineRule="auto"/>
        <w:ind w:firstLine="480" w:firstLineChars="200"/>
        <w:rPr>
          <w:rFonts w:hint="eastAsia" w:ascii="Times New Roman" w:hAnsi="Times New Roman" w:eastAsia="仿宋" w:cs="Times New Roman"/>
          <w:sz w:val="24"/>
          <w:szCs w:val="24"/>
          <w:lang w:val="en-US" w:eastAsia="zh-CN"/>
        </w:rPr>
      </w:pPr>
      <w:r>
        <w:rPr>
          <w:rFonts w:hint="eastAsia" w:ascii="Times New Roman" w:hAnsi="Times New Roman" w:eastAsia="仿宋" w:cs="Times New Roman"/>
          <w:sz w:val="24"/>
          <w:szCs w:val="24"/>
        </w:rPr>
        <w:t>真菌总数</w:t>
      </w:r>
      <w:r>
        <w:rPr>
          <w:rFonts w:hint="eastAsia" w:ascii="Times New Roman" w:hAnsi="Times New Roman" w:eastAsia="仿宋" w:cs="Times New Roman"/>
          <w:sz w:val="24"/>
          <w:szCs w:val="24"/>
          <w:lang w:eastAsia="zh-CN"/>
        </w:rPr>
        <w:t>：</w:t>
      </w:r>
      <w:r>
        <w:rPr>
          <w:rFonts w:hint="eastAsia" w:ascii="Times New Roman" w:hAnsi="Times New Roman" w:eastAsia="仿宋" w:cs="Times New Roman"/>
          <w:sz w:val="24"/>
          <w:szCs w:val="24"/>
          <w:lang w:val="en-US" w:eastAsia="zh-CN"/>
        </w:rPr>
        <w:t>在夏季，</w:t>
      </w:r>
      <w:r>
        <w:rPr>
          <w:rFonts w:hint="eastAsia" w:ascii="Times New Roman" w:hAnsi="Times New Roman" w:eastAsia="仿宋" w:cs="Times New Roman"/>
          <w:sz w:val="24"/>
          <w:szCs w:val="24"/>
          <w:lang w:eastAsia="zh-CN"/>
        </w:rPr>
        <w:t>大流量</w:t>
      </w:r>
      <w:r>
        <w:rPr>
          <w:rFonts w:hint="eastAsia" w:ascii="Times New Roman" w:hAnsi="Times New Roman" w:eastAsia="仿宋" w:cs="Times New Roman"/>
          <w:sz w:val="24"/>
          <w:szCs w:val="24"/>
        </w:rPr>
        <w:t>总体RSD为</w:t>
      </w:r>
      <w:r>
        <w:rPr>
          <w:rFonts w:hint="default" w:ascii="Times New Roman" w:hAnsi="Times New Roman" w:eastAsia="仿宋" w:cs="Times New Roman"/>
          <w:sz w:val="24"/>
          <w:szCs w:val="24"/>
          <w:lang w:val="en-US" w:eastAsia="zh-CN"/>
        </w:rPr>
        <w:t xml:space="preserve">970.43 </w:t>
      </w:r>
      <w:r>
        <w:rPr>
          <w:rFonts w:hint="eastAsia" w:ascii="Times New Roman" w:hAnsi="Times New Roman" w:eastAsia="仿宋" w:cs="Times New Roman"/>
          <w:sz w:val="24"/>
          <w:szCs w:val="24"/>
        </w:rPr>
        <w:t>%，高于</w:t>
      </w:r>
      <w:r>
        <w:rPr>
          <w:rFonts w:hint="eastAsia" w:ascii="Times New Roman" w:hAnsi="Times New Roman" w:eastAsia="仿宋" w:cs="Times New Roman"/>
          <w:sz w:val="24"/>
          <w:szCs w:val="24"/>
          <w:lang w:eastAsia="zh-CN"/>
        </w:rPr>
        <w:t>LS</w:t>
      </w:r>
      <w:r>
        <w:rPr>
          <w:rFonts w:hint="eastAsia" w:ascii="Times New Roman" w:hAnsi="Times New Roman" w:eastAsia="仿宋" w:cs="Times New Roman"/>
          <w:sz w:val="24"/>
          <w:szCs w:val="24"/>
        </w:rPr>
        <w:t>的</w:t>
      </w:r>
      <w:r>
        <w:rPr>
          <w:rFonts w:hint="default" w:ascii="Times New Roman" w:hAnsi="Times New Roman" w:eastAsia="仿宋" w:cs="Times New Roman"/>
          <w:sz w:val="24"/>
          <w:szCs w:val="24"/>
          <w:lang w:val="en-US" w:eastAsia="zh-CN"/>
        </w:rPr>
        <w:t>143.12</w:t>
      </w:r>
      <w:r>
        <w:rPr>
          <w:rFonts w:hint="eastAsia" w:ascii="Times New Roman" w:hAnsi="Times New Roman" w:eastAsia="仿宋" w:cs="Times New Roman"/>
          <w:sz w:val="24"/>
          <w:szCs w:val="24"/>
        </w:rPr>
        <w:t>%</w:t>
      </w:r>
      <w:r>
        <w:rPr>
          <w:rFonts w:hint="eastAsia" w:ascii="Times New Roman" w:hAnsi="Times New Roman" w:eastAsia="仿宋" w:cs="Times New Roman"/>
          <w:sz w:val="24"/>
          <w:szCs w:val="24"/>
          <w:lang w:val="en-US" w:eastAsia="zh-CN"/>
        </w:rPr>
        <w:t>与</w:t>
      </w:r>
      <w:r>
        <w:rPr>
          <w:rFonts w:hint="eastAsia" w:ascii="Times New Roman" w:hAnsi="Times New Roman" w:eastAsia="仿宋" w:cs="Times New Roman"/>
          <w:sz w:val="24"/>
          <w:szCs w:val="24"/>
        </w:rPr>
        <w:t>SKC法的</w:t>
      </w:r>
      <w:r>
        <w:rPr>
          <w:rFonts w:hint="default" w:ascii="Times New Roman" w:hAnsi="Times New Roman" w:eastAsia="仿宋" w:cs="Times New Roman"/>
          <w:sz w:val="24"/>
          <w:szCs w:val="24"/>
          <w:lang w:val="en-US" w:eastAsia="zh-CN"/>
        </w:rPr>
        <w:t>212.78</w:t>
      </w:r>
      <w:r>
        <w:rPr>
          <w:rFonts w:hint="eastAsia" w:ascii="Times New Roman" w:hAnsi="Times New Roman" w:eastAsia="仿宋" w:cs="Times New Roman"/>
          <w:sz w:val="24"/>
          <w:szCs w:val="24"/>
        </w:rPr>
        <w:t>%（表5）</w:t>
      </w:r>
      <w:r>
        <w:rPr>
          <w:rFonts w:hint="eastAsia" w:ascii="Times New Roman" w:hAnsi="Times New Roman" w:eastAsia="仿宋" w:cs="Times New Roman"/>
          <w:sz w:val="24"/>
          <w:szCs w:val="24"/>
          <w:lang w:eastAsia="zh-CN"/>
        </w:rPr>
        <w:t>，</w:t>
      </w:r>
      <w:r>
        <w:rPr>
          <w:rFonts w:hint="eastAsia" w:ascii="Times New Roman" w:hAnsi="Times New Roman" w:eastAsia="仿宋" w:cs="Times New Roman"/>
          <w:sz w:val="24"/>
          <w:szCs w:val="24"/>
          <w:lang w:val="en-US" w:eastAsia="zh-CN"/>
        </w:rPr>
        <w:t>在冬季，</w:t>
      </w:r>
      <w:r>
        <w:rPr>
          <w:rFonts w:hint="eastAsia" w:ascii="Times New Roman" w:hAnsi="Times New Roman" w:eastAsia="仿宋" w:cs="Times New Roman"/>
          <w:sz w:val="24"/>
          <w:szCs w:val="24"/>
        </w:rPr>
        <w:t>不同采样时间、采样位置，</w:t>
      </w:r>
      <w:r>
        <w:rPr>
          <w:rFonts w:hint="eastAsia" w:ascii="Times New Roman" w:hAnsi="Times New Roman" w:eastAsia="仿宋" w:cs="Times New Roman"/>
          <w:sz w:val="24"/>
          <w:szCs w:val="24"/>
          <w:lang w:eastAsia="zh-CN"/>
        </w:rPr>
        <w:t>大流量</w:t>
      </w:r>
      <w:r>
        <w:rPr>
          <w:rFonts w:hint="eastAsia" w:ascii="Times New Roman" w:hAnsi="Times New Roman" w:eastAsia="仿宋" w:cs="Times New Roman"/>
          <w:sz w:val="24"/>
          <w:szCs w:val="24"/>
        </w:rPr>
        <w:t>的样品总体RSD为</w:t>
      </w:r>
      <w:r>
        <w:rPr>
          <w:rFonts w:hint="default" w:ascii="Times New Roman" w:hAnsi="Times New Roman" w:eastAsia="仿宋" w:cs="Times New Roman"/>
          <w:sz w:val="24"/>
          <w:szCs w:val="24"/>
          <w:lang w:val="en-US" w:eastAsia="zh-CN"/>
        </w:rPr>
        <w:t>211.19</w:t>
      </w:r>
      <w:r>
        <w:rPr>
          <w:rFonts w:hint="eastAsia" w:ascii="Times New Roman" w:hAnsi="Times New Roman" w:eastAsia="仿宋" w:cs="Times New Roman"/>
          <w:sz w:val="24"/>
          <w:szCs w:val="24"/>
        </w:rPr>
        <w:t>%，高于</w:t>
      </w:r>
      <w:r>
        <w:rPr>
          <w:rFonts w:hint="eastAsia" w:ascii="Times New Roman" w:hAnsi="Times New Roman" w:eastAsia="仿宋" w:cs="Times New Roman"/>
          <w:sz w:val="24"/>
          <w:szCs w:val="24"/>
          <w:lang w:eastAsia="zh-CN"/>
        </w:rPr>
        <w:t>LS</w:t>
      </w:r>
      <w:r>
        <w:rPr>
          <w:rFonts w:hint="eastAsia" w:ascii="Times New Roman" w:hAnsi="Times New Roman" w:eastAsia="仿宋" w:cs="Times New Roman"/>
          <w:sz w:val="24"/>
          <w:szCs w:val="24"/>
        </w:rPr>
        <w:t>的</w:t>
      </w:r>
      <w:r>
        <w:rPr>
          <w:rFonts w:hint="default" w:ascii="Times New Roman" w:hAnsi="Times New Roman" w:eastAsia="仿宋" w:cs="Times New Roman"/>
          <w:sz w:val="24"/>
          <w:szCs w:val="24"/>
          <w:lang w:val="en-US" w:eastAsia="zh-CN"/>
        </w:rPr>
        <w:t>107.16</w:t>
      </w:r>
      <w:r>
        <w:rPr>
          <w:rFonts w:hint="eastAsia" w:ascii="Times New Roman" w:hAnsi="Times New Roman" w:eastAsia="仿宋" w:cs="Times New Roman"/>
          <w:sz w:val="24"/>
          <w:szCs w:val="24"/>
        </w:rPr>
        <w:t>%</w:t>
      </w:r>
      <w:r>
        <w:rPr>
          <w:rFonts w:hint="eastAsia" w:ascii="Times New Roman" w:hAnsi="Times New Roman" w:eastAsia="仿宋" w:cs="Times New Roman"/>
          <w:sz w:val="24"/>
          <w:szCs w:val="24"/>
          <w:lang w:val="en-US" w:eastAsia="zh-CN"/>
        </w:rPr>
        <w:t>与</w:t>
      </w:r>
      <w:r>
        <w:rPr>
          <w:rFonts w:hint="eastAsia" w:ascii="Times New Roman" w:hAnsi="Times New Roman" w:eastAsia="仿宋" w:cs="Times New Roman"/>
          <w:sz w:val="24"/>
          <w:szCs w:val="24"/>
        </w:rPr>
        <w:t>SKC法的</w:t>
      </w:r>
      <w:r>
        <w:rPr>
          <w:rFonts w:hint="default" w:ascii="Times New Roman" w:hAnsi="Times New Roman" w:eastAsia="仿宋" w:cs="Times New Roman"/>
          <w:sz w:val="24"/>
          <w:szCs w:val="24"/>
          <w:lang w:val="en-US" w:eastAsia="zh-CN"/>
        </w:rPr>
        <w:t>136.66</w:t>
      </w:r>
      <w:r>
        <w:rPr>
          <w:rFonts w:hint="eastAsia" w:ascii="Times New Roman" w:hAnsi="Times New Roman" w:eastAsia="仿宋" w:cs="Times New Roman"/>
          <w:sz w:val="24"/>
          <w:szCs w:val="24"/>
        </w:rPr>
        <w:t>%</w:t>
      </w:r>
      <w:r>
        <w:rPr>
          <w:rFonts w:hint="eastAsia" w:ascii="Times New Roman" w:hAnsi="Times New Roman" w:eastAsia="仿宋" w:cs="Times New Roman"/>
          <w:sz w:val="24"/>
          <w:szCs w:val="24"/>
          <w:lang w:eastAsia="zh-CN"/>
        </w:rPr>
        <w:t>。</w:t>
      </w:r>
    </w:p>
    <w:p w14:paraId="066A7475">
      <w:pPr>
        <w:spacing w:line="240" w:lineRule="auto"/>
        <w:ind w:firstLine="482" w:firstLineChars="200"/>
        <w:rPr>
          <w:rFonts w:ascii="Times New Roman" w:hAnsi="Times New Roman" w:eastAsia="仿宋" w:cs="Times New Roman"/>
          <w:b/>
          <w:sz w:val="24"/>
          <w:szCs w:val="24"/>
        </w:rPr>
      </w:pPr>
      <w:r>
        <w:rPr>
          <w:rFonts w:hint="eastAsia" w:ascii="Times New Roman" w:hAnsi="Times New Roman" w:eastAsia="仿宋" w:cs="Times New Roman"/>
          <w:b/>
          <w:sz w:val="24"/>
          <w:szCs w:val="24"/>
        </w:rPr>
        <w:t>综上所述，</w:t>
      </w:r>
      <w:r>
        <w:rPr>
          <w:rFonts w:hint="eastAsia" w:ascii="Times New Roman" w:hAnsi="Times New Roman" w:eastAsia="仿宋" w:cs="Times New Roman"/>
          <w:b/>
          <w:sz w:val="24"/>
          <w:szCs w:val="24"/>
          <w:lang w:val="en-US" w:eastAsia="zh-CN"/>
        </w:rPr>
        <w:t>三种设备</w:t>
      </w:r>
      <w:r>
        <w:rPr>
          <w:rFonts w:hint="eastAsia" w:ascii="Times New Roman" w:hAnsi="Times New Roman" w:eastAsia="仿宋" w:cs="Times New Roman"/>
          <w:b/>
          <w:sz w:val="24"/>
          <w:szCs w:val="24"/>
        </w:rPr>
        <w:t>对细菌</w:t>
      </w:r>
      <w:r>
        <w:rPr>
          <w:rFonts w:hint="eastAsia" w:ascii="Times New Roman" w:hAnsi="Times New Roman" w:eastAsia="仿宋" w:cs="Times New Roman"/>
          <w:b/>
          <w:sz w:val="24"/>
          <w:szCs w:val="24"/>
          <w:lang w:val="en-US" w:eastAsia="zh-CN"/>
        </w:rPr>
        <w:t>气溶胶采样稳定性较好，对真菌气溶胶的采样稳定性相对较差。</w:t>
      </w:r>
    </w:p>
    <w:p w14:paraId="1429F14B">
      <w:pPr>
        <w:pStyle w:val="2"/>
        <w:rPr>
          <w:rFonts w:eastAsia="仿宋"/>
          <w:szCs w:val="24"/>
        </w:rPr>
      </w:pPr>
      <w:bookmarkStart w:id="263" w:name="_Toc172211048"/>
      <w:bookmarkStart w:id="264" w:name="_Toc177563301"/>
      <w:bookmarkStart w:id="265" w:name="_Toc7689"/>
      <w:r>
        <w:rPr>
          <w:rFonts w:eastAsia="仿宋"/>
          <w:szCs w:val="24"/>
        </w:rPr>
        <w:t>3</w:t>
      </w:r>
      <w:r>
        <w:rPr>
          <w:rFonts w:hint="eastAsia" w:eastAsia="仿宋"/>
          <w:szCs w:val="24"/>
        </w:rPr>
        <w:t>．</w:t>
      </w:r>
      <w:r>
        <w:rPr>
          <w:rFonts w:eastAsia="仿宋"/>
          <w:szCs w:val="24"/>
        </w:rPr>
        <w:t>评估结论</w:t>
      </w:r>
      <w:bookmarkEnd w:id="263"/>
      <w:bookmarkEnd w:id="264"/>
      <w:bookmarkEnd w:id="265"/>
    </w:p>
    <w:p w14:paraId="05661C66">
      <w:pPr>
        <w:spacing w:line="240" w:lineRule="auto"/>
        <w:ind w:firstLine="480" w:firstLineChars="200"/>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本次验证通过大流量、</w:t>
      </w:r>
      <w:r>
        <w:rPr>
          <w:rFonts w:hint="eastAsia" w:ascii="Times New Roman" w:hAnsi="Times New Roman" w:eastAsia="仿宋" w:cs="Times New Roman"/>
          <w:sz w:val="24"/>
          <w:szCs w:val="24"/>
          <w:lang w:val="en-US" w:eastAsia="zh-CN"/>
        </w:rPr>
        <w:t>LS</w:t>
      </w:r>
      <w:r>
        <w:rPr>
          <w:rFonts w:hint="eastAsia" w:ascii="Times New Roman" w:hAnsi="Times New Roman" w:eastAsia="仿宋" w:cs="Times New Roman"/>
          <w:sz w:val="24"/>
          <w:szCs w:val="24"/>
        </w:rPr>
        <w:t>、SKC三种基于液体气旋采样原理的设备，在真实教室环境下的平行比对，得出以下结论：</w:t>
      </w:r>
    </w:p>
    <w:p w14:paraId="78136F42">
      <w:pPr>
        <w:spacing w:line="240" w:lineRule="auto"/>
        <w:ind w:firstLine="480" w:firstLineChars="200"/>
        <w:rPr>
          <w:rFonts w:hint="eastAsia" w:ascii="Times New Roman" w:hAnsi="Times New Roman" w:eastAsia="仿宋" w:cs="Times New Roman"/>
          <w:sz w:val="24"/>
          <w:szCs w:val="24"/>
        </w:rPr>
      </w:pPr>
      <w:r>
        <w:rPr>
          <w:rFonts w:hint="eastAsia" w:ascii="Times New Roman" w:hAnsi="Times New Roman" w:eastAsia="仿宋" w:cs="Times New Roman"/>
          <w:sz w:val="24"/>
          <w:szCs w:val="24"/>
          <w:lang w:eastAsia="zh-CN"/>
        </w:rPr>
        <w:t>（</w:t>
      </w:r>
      <w:r>
        <w:rPr>
          <w:rFonts w:hint="eastAsia" w:ascii="Times New Roman" w:hAnsi="Times New Roman" w:eastAsia="仿宋" w:cs="Times New Roman"/>
          <w:sz w:val="24"/>
          <w:szCs w:val="24"/>
          <w:lang w:val="en-US" w:eastAsia="zh-CN"/>
        </w:rPr>
        <w:t>1</w:t>
      </w:r>
      <w:r>
        <w:rPr>
          <w:rFonts w:hint="eastAsia" w:ascii="Times New Roman" w:hAnsi="Times New Roman" w:eastAsia="仿宋" w:cs="Times New Roman"/>
          <w:sz w:val="24"/>
          <w:szCs w:val="24"/>
          <w:lang w:eastAsia="zh-CN"/>
        </w:rPr>
        <w:t>）</w:t>
      </w:r>
      <w:r>
        <w:rPr>
          <w:rFonts w:hint="eastAsia" w:ascii="Times New Roman" w:hAnsi="Times New Roman" w:eastAsia="仿宋" w:cs="Times New Roman"/>
          <w:sz w:val="24"/>
          <w:szCs w:val="24"/>
        </w:rPr>
        <w:t>可行性：液体气旋采样原理适用于教室空气微生物的采集。三种设备均能有效捕获微生物，但在灵敏度（检出率）和捕获效率（超标率）上存在梯度差异。其中，大流量设备在操作便捷性、耗材节约和成本上具有优势。</w:t>
      </w:r>
    </w:p>
    <w:p w14:paraId="506519E1">
      <w:pPr>
        <w:spacing w:line="240" w:lineRule="auto"/>
        <w:ind w:firstLine="480" w:firstLineChars="200"/>
        <w:rPr>
          <w:rFonts w:hint="eastAsia" w:ascii="Times New Roman" w:hAnsi="Times New Roman" w:eastAsia="仿宋" w:cs="Times New Roman"/>
          <w:sz w:val="24"/>
          <w:szCs w:val="24"/>
        </w:rPr>
      </w:pPr>
      <w:r>
        <w:rPr>
          <w:rFonts w:hint="eastAsia" w:ascii="Times New Roman" w:hAnsi="Times New Roman" w:eastAsia="仿宋" w:cs="Times New Roman"/>
          <w:sz w:val="24"/>
          <w:szCs w:val="24"/>
          <w:lang w:eastAsia="zh-CN"/>
        </w:rPr>
        <w:t>（</w:t>
      </w:r>
      <w:r>
        <w:rPr>
          <w:rFonts w:hint="eastAsia" w:ascii="Times New Roman" w:hAnsi="Times New Roman" w:eastAsia="仿宋" w:cs="Times New Roman"/>
          <w:sz w:val="24"/>
          <w:szCs w:val="24"/>
          <w:lang w:val="en-US" w:eastAsia="zh-CN"/>
        </w:rPr>
        <w:t>2</w:t>
      </w:r>
      <w:r>
        <w:rPr>
          <w:rFonts w:hint="eastAsia" w:ascii="Times New Roman" w:hAnsi="Times New Roman" w:eastAsia="仿宋" w:cs="Times New Roman"/>
          <w:sz w:val="24"/>
          <w:szCs w:val="24"/>
          <w:lang w:eastAsia="zh-CN"/>
        </w:rPr>
        <w:t>）</w:t>
      </w:r>
      <w:r>
        <w:rPr>
          <w:rFonts w:hint="eastAsia" w:ascii="Times New Roman" w:hAnsi="Times New Roman" w:eastAsia="仿宋" w:cs="Times New Roman"/>
          <w:sz w:val="24"/>
          <w:szCs w:val="24"/>
        </w:rPr>
        <w:t>准确性：三种设备的测量结果存在偏差，一致性</w:t>
      </w:r>
      <w:r>
        <w:rPr>
          <w:rFonts w:hint="eastAsia" w:ascii="Times New Roman" w:hAnsi="Times New Roman" w:eastAsia="仿宋" w:cs="Times New Roman"/>
          <w:sz w:val="24"/>
          <w:szCs w:val="24"/>
          <w:lang w:val="en-US" w:eastAsia="zh-CN"/>
        </w:rPr>
        <w:t>一般</w:t>
      </w:r>
      <w:r>
        <w:rPr>
          <w:rFonts w:hint="eastAsia" w:ascii="Times New Roman" w:hAnsi="Times New Roman" w:eastAsia="仿宋" w:cs="Times New Roman"/>
          <w:sz w:val="24"/>
          <w:szCs w:val="24"/>
        </w:rPr>
        <w:t>。SKC读数最高，</w:t>
      </w:r>
      <w:r>
        <w:rPr>
          <w:rFonts w:hint="eastAsia" w:ascii="Times New Roman" w:hAnsi="Times New Roman" w:eastAsia="仿宋" w:cs="Times New Roman"/>
          <w:sz w:val="24"/>
          <w:szCs w:val="24"/>
          <w:lang w:val="en-US" w:eastAsia="zh-CN"/>
        </w:rPr>
        <w:t>LS</w:t>
      </w:r>
      <w:r>
        <w:rPr>
          <w:rFonts w:hint="eastAsia" w:ascii="Times New Roman" w:hAnsi="Times New Roman" w:eastAsia="仿宋" w:cs="Times New Roman"/>
          <w:sz w:val="24"/>
          <w:szCs w:val="24"/>
        </w:rPr>
        <w:t>居中，大流量法读数偏低。大流量设备的结果受季节影响最小。</w:t>
      </w:r>
    </w:p>
    <w:p w14:paraId="33FB57B5">
      <w:pPr>
        <w:spacing w:line="240" w:lineRule="auto"/>
        <w:ind w:firstLine="480" w:firstLineChars="200"/>
        <w:rPr>
          <w:rFonts w:hint="eastAsia" w:ascii="Times New Roman" w:hAnsi="Times New Roman" w:eastAsia="仿宋" w:cs="Times New Roman"/>
          <w:sz w:val="24"/>
          <w:szCs w:val="24"/>
        </w:rPr>
      </w:pPr>
      <w:r>
        <w:rPr>
          <w:rFonts w:hint="eastAsia" w:ascii="Times New Roman" w:hAnsi="Times New Roman" w:eastAsia="仿宋" w:cs="Times New Roman"/>
          <w:sz w:val="24"/>
          <w:szCs w:val="24"/>
          <w:lang w:eastAsia="zh-CN"/>
        </w:rPr>
        <w:t>（</w:t>
      </w:r>
      <w:r>
        <w:rPr>
          <w:rFonts w:hint="eastAsia" w:ascii="Times New Roman" w:hAnsi="Times New Roman" w:eastAsia="仿宋" w:cs="Times New Roman"/>
          <w:sz w:val="24"/>
          <w:szCs w:val="24"/>
          <w:lang w:val="en-US" w:eastAsia="zh-CN"/>
        </w:rPr>
        <w:t>3</w:t>
      </w:r>
      <w:r>
        <w:rPr>
          <w:rFonts w:hint="eastAsia" w:ascii="Times New Roman" w:hAnsi="Times New Roman" w:eastAsia="仿宋" w:cs="Times New Roman"/>
          <w:sz w:val="24"/>
          <w:szCs w:val="24"/>
          <w:lang w:eastAsia="zh-CN"/>
        </w:rPr>
        <w:t>）</w:t>
      </w:r>
      <w:r>
        <w:rPr>
          <w:rFonts w:hint="eastAsia" w:ascii="Times New Roman" w:hAnsi="Times New Roman" w:eastAsia="仿宋" w:cs="Times New Roman"/>
          <w:sz w:val="24"/>
          <w:szCs w:val="24"/>
        </w:rPr>
        <w:t>稳定性：对于细菌采样，三种设备的稳定性表现相当，大流量法居中。但对于真菌采样，大流量法的结果稳定性弱于朗司法和SKC法，表明其在该参数上的测量重复性有待提升。</w:t>
      </w:r>
    </w:p>
    <w:p w14:paraId="06C7C58E">
      <w:pPr>
        <w:spacing w:line="240" w:lineRule="auto"/>
        <w:ind w:firstLine="480" w:firstLineChars="200"/>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rPr>
        <w:t>综上所述，液体气旋采样原理在教室空气微生物监测中具备应用可行性，但不同具体设备在准确性、稳定性上表现各异。在实际应用中，需根据监测目标（细菌/真菌）、对准确度与精度的要求、以及操作成本与效率进行综合权衡，选择合适设备。</w:t>
      </w:r>
      <w:r>
        <w:rPr>
          <w:rFonts w:hint="eastAsia" w:ascii="Times New Roman" w:hAnsi="Times New Roman" w:eastAsia="仿宋" w:cs="Times New Roman"/>
          <w:sz w:val="24"/>
          <w:szCs w:val="24"/>
          <w:lang w:val="en-US" w:eastAsia="zh-CN"/>
        </w:rPr>
        <w:t>对于流量&gt;300L/min的设备，其实现快速、低成本采样方面具备较大优势。</w:t>
      </w:r>
    </w:p>
    <w:p w14:paraId="255A27FC">
      <w:pPr>
        <w:tabs>
          <w:tab w:val="left" w:pos="630"/>
        </w:tabs>
        <w:snapToGrid w:val="0"/>
        <w:spacing w:line="240" w:lineRule="auto"/>
        <w:rPr>
          <w:rFonts w:hint="eastAsia" w:cs="Times New Roman"/>
          <w:sz w:val="20"/>
          <w:szCs w:val="20"/>
          <w:lang w:val="en-US" w:eastAsia="zh-CN"/>
        </w:rPr>
      </w:pPr>
    </w:p>
    <w:sectPr>
      <w:footerReference r:id="rId15" w:type="default"/>
      <w:pgSz w:w="11906" w:h="16838"/>
      <w:pgMar w:top="1440" w:right="1800" w:bottom="1440" w:left="1800" w:header="851" w:footer="992" w:gutter="0"/>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51EFB2">
    <w:pPr>
      <w:pStyle w:val="16"/>
      <w:ind w:firstLine="360"/>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6B8EFF">
                          <w:pPr>
                            <w:pStyle w:val="1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14:paraId="666B8EFF">
                    <w:pPr>
                      <w:pStyle w:val="1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BD853">
    <w:pPr>
      <w:pStyle w:val="16"/>
      <w:ind w:firstLine="360"/>
      <w:jc w:val="cente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71F599">
                          <w:pPr>
                            <w:pStyle w:val="1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F71F599">
                    <w:pPr>
                      <w:pStyle w:val="1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791A0E">
    <w:pPr>
      <w:pStyle w:val="16"/>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64521"/>
                          </w:sdtPr>
                          <w:sdtContent>
                            <w:p w14:paraId="5154B324">
                              <w:pPr>
                                <w:pStyle w:val="16"/>
                                <w:jc w:val="center"/>
                              </w:pPr>
                              <w:r>
                                <w:fldChar w:fldCharType="begin"/>
                              </w:r>
                              <w:r>
                                <w:instrText xml:space="preserve">PAGE   \* MERGEFORMAT</w:instrText>
                              </w:r>
                              <w:r>
                                <w:fldChar w:fldCharType="separate"/>
                              </w:r>
                              <w:r>
                                <w:rPr>
                                  <w:lang w:val="zh-CN"/>
                                </w:rPr>
                                <w:t>33</w:t>
                              </w:r>
                              <w:r>
                                <w:fldChar w:fldCharType="end"/>
                              </w:r>
                            </w:p>
                          </w:sdtContent>
                        </w:sdt>
                        <w:p w14:paraId="6B2084B0"/>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sdt>
                    <w:sdtPr>
                      <w:id w:val="147464521"/>
                    </w:sdtPr>
                    <w:sdtContent>
                      <w:p w14:paraId="5154B324">
                        <w:pPr>
                          <w:pStyle w:val="16"/>
                          <w:jc w:val="center"/>
                        </w:pPr>
                        <w:r>
                          <w:fldChar w:fldCharType="begin"/>
                        </w:r>
                        <w:r>
                          <w:instrText xml:space="preserve">PAGE   \* MERGEFORMAT</w:instrText>
                        </w:r>
                        <w:r>
                          <w:fldChar w:fldCharType="separate"/>
                        </w:r>
                        <w:r>
                          <w:rPr>
                            <w:lang w:val="zh-CN"/>
                          </w:rPr>
                          <w:t>33</w:t>
                        </w:r>
                        <w:r>
                          <w:fldChar w:fldCharType="end"/>
                        </w:r>
                      </w:p>
                    </w:sdtContent>
                  </w:sdt>
                  <w:p w14:paraId="6B2084B0"/>
                </w:txbxContent>
              </v:textbox>
            </v:shape>
          </w:pict>
        </mc:Fallback>
      </mc:AlternateContent>
    </w:r>
  </w:p>
  <w:p w14:paraId="4DFA9E4E">
    <w:pPr>
      <w:pStyle w:val="1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168706">
    <w:pPr>
      <w:pStyle w:val="16"/>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7AF1CE">
                          <w:pPr>
                            <w:pStyle w:val="16"/>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197AF1CE">
                    <w:pPr>
                      <w:pStyle w:val="16"/>
                    </w:pPr>
                    <w:r>
                      <w:fldChar w:fldCharType="begin"/>
                    </w:r>
                    <w:r>
                      <w:instrText xml:space="preserve"> PAGE  \* MERGEFORMAT </w:instrText>
                    </w:r>
                    <w:r>
                      <w:fldChar w:fldCharType="separate"/>
                    </w:r>
                    <w:r>
                      <w:t>13</w:t>
                    </w:r>
                    <w:r>
                      <w:fldChar w:fldCharType="end"/>
                    </w:r>
                  </w:p>
                </w:txbxContent>
              </v:textbox>
            </v:shape>
          </w:pict>
        </mc:Fallback>
      </mc:AlternateContent>
    </w:r>
  </w:p>
  <w:p w14:paraId="0746E639">
    <w:pPr>
      <w:pStyle w:val="1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658A7E">
    <w:pPr>
      <w:pStyle w:val="16"/>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032C3">
    <w:pPr>
      <w:pStyle w:val="16"/>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20B4D3">
    <w:pPr>
      <w:pStyle w:val="16"/>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83376"/>
                          </w:sdtPr>
                          <w:sdtContent>
                            <w:p w14:paraId="0D42913E">
                              <w:pPr>
                                <w:pStyle w:val="16"/>
                                <w:jc w:val="center"/>
                              </w:pPr>
                              <w:r>
                                <w:fldChar w:fldCharType="begin"/>
                              </w:r>
                              <w:r>
                                <w:instrText xml:space="preserve">PAGE   \* MERGEFORMAT</w:instrText>
                              </w:r>
                              <w:r>
                                <w:fldChar w:fldCharType="separate"/>
                              </w:r>
                              <w:r>
                                <w:rPr>
                                  <w:lang w:val="zh-CN"/>
                                </w:rPr>
                                <w:t>70</w:t>
                              </w:r>
                              <w:r>
                                <w:fldChar w:fldCharType="end"/>
                              </w:r>
                            </w:p>
                          </w:sdtContent>
                        </w:sdt>
                        <w:p w14:paraId="5D05461D"/>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sdt>
                    <w:sdtPr>
                      <w:id w:val="147483376"/>
                    </w:sdtPr>
                    <w:sdtContent>
                      <w:p w14:paraId="0D42913E">
                        <w:pPr>
                          <w:pStyle w:val="16"/>
                          <w:jc w:val="center"/>
                        </w:pPr>
                        <w:r>
                          <w:fldChar w:fldCharType="begin"/>
                        </w:r>
                        <w:r>
                          <w:instrText xml:space="preserve">PAGE   \* MERGEFORMAT</w:instrText>
                        </w:r>
                        <w:r>
                          <w:fldChar w:fldCharType="separate"/>
                        </w:r>
                        <w:r>
                          <w:rPr>
                            <w:lang w:val="zh-CN"/>
                          </w:rPr>
                          <w:t>70</w:t>
                        </w:r>
                        <w:r>
                          <w:fldChar w:fldCharType="end"/>
                        </w:r>
                      </w:p>
                    </w:sdtContent>
                  </w:sdt>
                  <w:p w14:paraId="5D05461D"/>
                </w:txbxContent>
              </v:textbox>
            </v:shape>
          </w:pict>
        </mc:Fallback>
      </mc:AlternateContent>
    </w:r>
  </w:p>
  <w:p w14:paraId="34188C58">
    <w:pPr>
      <w:spacing w:line="14" w:lineRule="auto"/>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14">
    <w:p>
      <w:pPr>
        <w:spacing w:line="360" w:lineRule="auto"/>
      </w:pPr>
      <w:r>
        <w:separator/>
      </w:r>
    </w:p>
  </w:footnote>
  <w:footnote w:type="continuationSeparator" w:id="15">
    <w:p>
      <w:pPr>
        <w:spacing w:line="360" w:lineRule="auto"/>
      </w:pPr>
      <w:r>
        <w:continuationSeparator/>
      </w:r>
    </w:p>
  </w:footnote>
  <w:footnote w:id="0">
    <w:p w14:paraId="24EC191E">
      <w:pPr>
        <w:pStyle w:val="21"/>
        <w:keepNext w:val="0"/>
        <w:keepLines w:val="0"/>
        <w:pageBreakBefore w:val="0"/>
        <w:widowControl w:val="0"/>
        <w:kinsoku w:val="0"/>
        <w:wordWrap w:val="0"/>
        <w:overflowPunct/>
        <w:topLinePunct w:val="0"/>
        <w:bidi w:val="0"/>
        <w:adjustRightInd/>
        <w:snapToGrid w:val="0"/>
        <w:textAlignment w:val="auto"/>
      </w:pPr>
      <w:r>
        <w:rPr>
          <w:rStyle w:val="32"/>
        </w:rPr>
        <w:t>[</w:t>
      </w:r>
      <w:r>
        <w:rPr>
          <w:rStyle w:val="32"/>
        </w:rPr>
        <w:footnoteRef/>
      </w:r>
      <w:r>
        <w:rPr>
          <w:rStyle w:val="32"/>
        </w:rPr>
        <w:t>]</w:t>
      </w:r>
      <w:r>
        <w:t xml:space="preserve"> </w:t>
      </w:r>
      <w:r>
        <w:rPr>
          <w:rFonts w:hint="eastAsia"/>
        </w:rPr>
        <w:t>医学名词审定委员会.感染病学名词审定分委员会.感染病学名词[EB/OL].(2019)[2026-04-01]. https://www.termonline.cn/wordDetail?termName=病原体&amp;subject=3491978326a911eea497b068e6519520&amp;base=1</w:t>
      </w:r>
    </w:p>
  </w:footnote>
  <w:footnote w:id="1">
    <w:p w14:paraId="7AC1E1B6">
      <w:pPr>
        <w:pStyle w:val="21"/>
        <w:keepNext w:val="0"/>
        <w:keepLines w:val="0"/>
        <w:pageBreakBefore w:val="0"/>
        <w:widowControl w:val="0"/>
        <w:kinsoku w:val="0"/>
        <w:wordWrap w:val="0"/>
        <w:overflowPunct/>
        <w:topLinePunct w:val="0"/>
        <w:bidi w:val="0"/>
        <w:adjustRightInd/>
        <w:snapToGrid w:val="0"/>
        <w:textAlignment w:val="auto"/>
      </w:pPr>
      <w:r>
        <w:rPr>
          <w:rStyle w:val="32"/>
        </w:rPr>
        <w:t>[</w:t>
      </w:r>
      <w:r>
        <w:rPr>
          <w:rStyle w:val="32"/>
        </w:rPr>
        <w:footnoteRef/>
      </w:r>
      <w:r>
        <w:rPr>
          <w:rStyle w:val="32"/>
        </w:rPr>
        <w:t>]</w:t>
      </w:r>
      <w:r>
        <w:t xml:space="preserve"> </w:t>
      </w:r>
      <w:r>
        <w:rPr>
          <w:rFonts w:hint="eastAsia"/>
        </w:rPr>
        <w:t>化工名词审定委员会.化学工程名词（四）安全·环保·可持续发展[EB/OL].(2020)[2026-04-01]. https://www.termonline.cn/wordDetail?termName=自动采样&amp;subject=e2e9fde726a711eebd82b068e6519520&amp;base=1</w:t>
      </w:r>
    </w:p>
  </w:footnote>
  <w:footnote w:id="2">
    <w:p w14:paraId="39F5B36E">
      <w:pPr>
        <w:pStyle w:val="21"/>
        <w:keepNext w:val="0"/>
        <w:keepLines w:val="0"/>
        <w:pageBreakBefore w:val="0"/>
        <w:widowControl w:val="0"/>
        <w:kinsoku w:val="0"/>
        <w:wordWrap w:val="0"/>
        <w:overflowPunct/>
        <w:topLinePunct w:val="0"/>
        <w:bidi w:val="0"/>
        <w:adjustRightInd/>
        <w:snapToGrid w:val="0"/>
        <w:textAlignment w:val="auto"/>
      </w:pPr>
      <w:r>
        <w:rPr>
          <w:rStyle w:val="32"/>
        </w:rPr>
        <w:t>[</w:t>
      </w:r>
      <w:r>
        <w:rPr>
          <w:rStyle w:val="32"/>
        </w:rPr>
        <w:footnoteRef/>
      </w:r>
      <w:r>
        <w:rPr>
          <w:rStyle w:val="32"/>
        </w:rPr>
        <w:t>]</w:t>
      </w:r>
      <w:r>
        <w:t xml:space="preserve"> </w:t>
      </w:r>
      <w:r>
        <w:rPr>
          <w:rFonts w:hint="eastAsia"/>
        </w:rPr>
        <w:t>[2]机械工程名词 第一分册审定委员会.机械工程名词 第一分册[EB/OL].(2021)[2026-04-01]. https://www.termonline.cn/wordDetail?termName=智能化系统&amp;subject=f927334526a911eeb240b068e6519520&amp;base=1</w:t>
      </w:r>
    </w:p>
  </w:footnote>
  <w:footnote w:id="3">
    <w:p w14:paraId="5A48F985">
      <w:pPr>
        <w:pStyle w:val="21"/>
        <w:snapToGrid w:val="0"/>
      </w:pPr>
      <w:r>
        <w:rPr>
          <w:rStyle w:val="32"/>
        </w:rPr>
        <w:t>[</w:t>
      </w:r>
      <w:r>
        <w:rPr>
          <w:rStyle w:val="32"/>
        </w:rPr>
        <w:footnoteRef/>
      </w:r>
      <w:r>
        <w:rPr>
          <w:rStyle w:val="32"/>
        </w:rPr>
        <w:t>]</w:t>
      </w:r>
      <w:r>
        <w:t xml:space="preserve"> </w:t>
      </w:r>
      <w:r>
        <w:rPr>
          <w:rFonts w:hint="eastAsia"/>
          <w:lang w:val="en-US" w:eastAsia="zh-CN"/>
        </w:rPr>
        <w:t>国务院.</w:t>
      </w:r>
      <w:r>
        <w:rPr>
          <w:rFonts w:hint="eastAsia" w:cs="Times New Roman"/>
          <w:szCs w:val="24"/>
          <w:lang w:val="en-US" w:eastAsia="zh-CN"/>
        </w:rPr>
        <w:t>关于推动疾病预防控制事业高质量发展的指导意见</w:t>
      </w:r>
      <w:r>
        <w:rPr>
          <w:rFonts w:hint="eastAsia"/>
        </w:rPr>
        <w:t>[EB/OL].(202</w:t>
      </w:r>
      <w:r>
        <w:rPr>
          <w:rFonts w:hint="eastAsia"/>
          <w:lang w:val="en-US" w:eastAsia="zh-CN"/>
        </w:rPr>
        <w:t>3</w:t>
      </w:r>
      <w:r>
        <w:rPr>
          <w:rFonts w:hint="eastAsia"/>
        </w:rPr>
        <w:t>)[2026-04-01].</w:t>
      </w:r>
      <w:r>
        <w:rPr>
          <w:rFonts w:hint="eastAsia"/>
          <w:lang w:val="en-US" w:eastAsia="zh-CN"/>
        </w:rPr>
        <w:t xml:space="preserve"> </w:t>
      </w:r>
      <w:r>
        <w:rPr>
          <w:rFonts w:hint="eastAsia"/>
        </w:rPr>
        <w:t>https://www.nirp.cn/fswsfgbz/fg/gfxwj/202502/W020250428529396338231.pdf</w:t>
      </w:r>
    </w:p>
  </w:footnote>
  <w:footnote w:id="4">
    <w:p w14:paraId="12AA214B">
      <w:pPr>
        <w:pStyle w:val="21"/>
        <w:snapToGrid w:val="0"/>
      </w:pPr>
      <w:r>
        <w:rPr>
          <w:rStyle w:val="32"/>
        </w:rPr>
        <w:t>[</w:t>
      </w:r>
      <w:r>
        <w:rPr>
          <w:rStyle w:val="32"/>
        </w:rPr>
        <w:footnoteRef/>
      </w:r>
      <w:r>
        <w:rPr>
          <w:rStyle w:val="32"/>
        </w:rPr>
        <w:t>]</w:t>
      </w:r>
      <w:r>
        <w:t xml:space="preserve"> </w:t>
      </w:r>
      <w:r>
        <w:rPr>
          <w:rFonts w:hint="eastAsia"/>
        </w:rPr>
        <w:t>徐羽贞. 微生物气溶胶静电收集技术研究[D]. 浙江:浙江大学,2015.</w:t>
      </w:r>
    </w:p>
  </w:footnote>
  <w:footnote w:id="5">
    <w:p w14:paraId="48639A2F">
      <w:pPr>
        <w:pStyle w:val="21"/>
        <w:snapToGrid w:val="0"/>
        <w:rPr>
          <w:rFonts w:hint="eastAsia" w:eastAsia="宋体"/>
          <w:lang w:val="en-US" w:eastAsia="zh-CN"/>
        </w:rPr>
      </w:pPr>
      <w:r>
        <w:rPr>
          <w:rStyle w:val="32"/>
        </w:rPr>
        <w:t>[</w:t>
      </w:r>
      <w:r>
        <w:rPr>
          <w:rStyle w:val="32"/>
        </w:rPr>
        <w:footnoteRef/>
      </w:r>
      <w:r>
        <w:rPr>
          <w:rStyle w:val="32"/>
        </w:rPr>
        <w:t>]</w:t>
      </w:r>
      <w:r>
        <w:t xml:space="preserve"> </w:t>
      </w:r>
      <w:r>
        <w:rPr>
          <w:rFonts w:hint="eastAsia"/>
        </w:rPr>
        <w:t>王彦杰, 李琳, 许光素</w:t>
      </w:r>
      <w:r>
        <w:rPr>
          <w:rFonts w:hint="eastAsia"/>
          <w:lang w:val="en-US" w:eastAsia="zh-CN"/>
        </w:rPr>
        <w:t xml:space="preserve">等. </w:t>
      </w:r>
      <w:r>
        <w:rPr>
          <w:rFonts w:hint="eastAsia"/>
        </w:rPr>
        <w:t>微生物气溶胶采集技术的特点及应用</w:t>
      </w:r>
      <w:r>
        <w:rPr>
          <w:rFonts w:hint="eastAsia"/>
          <w:lang w:val="en-US" w:eastAsia="zh-CN"/>
        </w:rPr>
        <w:t xml:space="preserve">[J]. </w:t>
      </w:r>
      <w:r>
        <w:rPr>
          <w:rFonts w:hint="eastAsia"/>
        </w:rPr>
        <w:t>微生物学通报, 2017, 44(3): 701-709</w:t>
      </w:r>
      <w:r>
        <w:rPr>
          <w:rFonts w:hint="eastAsia"/>
          <w:lang w:val="en-US" w:eastAsia="zh-CN"/>
        </w:rPr>
        <w:t>.</w:t>
      </w:r>
    </w:p>
  </w:footnote>
  <w:footnote w:id="6">
    <w:p w14:paraId="01F4672D">
      <w:pPr>
        <w:pStyle w:val="21"/>
        <w:snapToGrid w:val="0"/>
      </w:pPr>
      <w:r>
        <w:rPr>
          <w:rStyle w:val="32"/>
        </w:rPr>
        <w:t>[</w:t>
      </w:r>
      <w:r>
        <w:rPr>
          <w:rStyle w:val="32"/>
        </w:rPr>
        <w:footnoteRef/>
      </w:r>
      <w:r>
        <w:rPr>
          <w:rStyle w:val="32"/>
        </w:rPr>
        <w:t>]</w:t>
      </w:r>
      <w:r>
        <w:t xml:space="preserve"> </w:t>
      </w:r>
      <w:r>
        <w:rPr>
          <w:rFonts w:hint="eastAsia"/>
        </w:rPr>
        <w:t xml:space="preserve">Morawska L, Allen J, Bahnfleth W, </w:t>
      </w:r>
      <w:r>
        <w:rPr>
          <w:rFonts w:hint="eastAsia"/>
          <w:lang w:val="en-US" w:eastAsia="zh-CN"/>
        </w:rPr>
        <w:t>et al</w:t>
      </w:r>
      <w:r>
        <w:rPr>
          <w:rFonts w:hint="eastAsia"/>
        </w:rPr>
        <w:t>. Mandating indoor air quality for public buildings. Science. 2024 Mar 29;383(6690):1418-1420.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442129">
    <w:pPr>
      <w:pStyle w:val="17"/>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E19C36">
    <w:pPr>
      <w:pStyle w:val="17"/>
      <w:pBdr>
        <w:top w:val="none" w:color="auto" w:sz="0" w:space="0"/>
        <w:left w:val="none" w:color="auto" w:sz="0" w:space="0"/>
        <w:bottom w:val="none" w:color="auto" w:sz="0" w:space="1"/>
        <w:right w:val="none" w:color="auto" w:sz="0" w:space="0"/>
        <w:between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8CB36F">
    <w:pPr>
      <w:pStyle w:val="1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FD793F">
    <w:pPr>
      <w:pStyle w:val="1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324214"/>
    <w:multiLevelType w:val="multilevel"/>
    <w:tmpl w:val="0E324214"/>
    <w:lvl w:ilvl="0" w:tentative="0">
      <w:start w:val="1"/>
      <w:numFmt w:val="decimal"/>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pStyle w:val="6"/>
      <w:lvlText w:val="%5."/>
      <w:lvlJc w:val="left"/>
      <w:pPr>
        <w:tabs>
          <w:tab w:val="left" w:pos="3600"/>
        </w:tabs>
        <w:ind w:left="3600" w:hanging="720"/>
      </w:pPr>
    </w:lvl>
    <w:lvl w:ilvl="5" w:tentative="0">
      <w:start w:val="1"/>
      <w:numFmt w:val="decimal"/>
      <w:pStyle w:val="7"/>
      <w:lvlText w:val="%6."/>
      <w:lvlJc w:val="left"/>
      <w:pPr>
        <w:tabs>
          <w:tab w:val="left" w:pos="4320"/>
        </w:tabs>
        <w:ind w:left="4320" w:hanging="720"/>
      </w:pPr>
    </w:lvl>
    <w:lvl w:ilvl="6" w:tentative="0">
      <w:start w:val="1"/>
      <w:numFmt w:val="decimal"/>
      <w:pStyle w:val="8"/>
      <w:lvlText w:val="%7."/>
      <w:lvlJc w:val="left"/>
      <w:pPr>
        <w:tabs>
          <w:tab w:val="left" w:pos="5040"/>
        </w:tabs>
        <w:ind w:left="5040" w:hanging="720"/>
      </w:pPr>
    </w:lvl>
    <w:lvl w:ilvl="7" w:tentative="0">
      <w:start w:val="1"/>
      <w:numFmt w:val="decimal"/>
      <w:pStyle w:val="9"/>
      <w:lvlText w:val="%8."/>
      <w:lvlJc w:val="left"/>
      <w:pPr>
        <w:tabs>
          <w:tab w:val="left" w:pos="5760"/>
        </w:tabs>
        <w:ind w:left="5760" w:hanging="720"/>
      </w:pPr>
    </w:lvl>
    <w:lvl w:ilvl="8" w:tentative="0">
      <w:start w:val="1"/>
      <w:numFmt w:val="decimal"/>
      <w:pStyle w:val="10"/>
      <w:lvlText w:val="%9."/>
      <w:lvlJc w:val="left"/>
      <w:pPr>
        <w:tabs>
          <w:tab w:val="left" w:pos="6480"/>
        </w:tabs>
        <w:ind w:left="6480" w:hanging="720"/>
      </w:pPr>
    </w:lvl>
  </w:abstractNum>
  <w:abstractNum w:abstractNumId="1">
    <w:nsid w:val="2C5917C3"/>
    <w:multiLevelType w:val="multilevel"/>
    <w:tmpl w:val="2C5917C3"/>
    <w:lvl w:ilvl="0" w:tentative="0">
      <w:start w:val="1"/>
      <w:numFmt w:val="none"/>
      <w:pStyle w:val="85"/>
      <w:lvlText w:val="%1——"/>
      <w:lvlJc w:val="left"/>
      <w:pPr>
        <w:tabs>
          <w:tab w:val="left" w:pos="851"/>
        </w:tabs>
        <w:ind w:left="851" w:hanging="426"/>
      </w:pPr>
      <w:rPr>
        <w:rFonts w:hint="eastAsia" w:ascii="宋体" w:hAnsi="Times New Roman" w:eastAsia="宋体"/>
        <w:b w:val="0"/>
        <w:i w:val="0"/>
        <w:sz w:val="21"/>
      </w:rPr>
    </w:lvl>
    <w:lvl w:ilvl="1" w:tentative="0">
      <w:start w:val="1"/>
      <w:numFmt w:val="none"/>
      <w:lvlText w:val=""/>
      <w:lvlJc w:val="left"/>
      <w:pPr>
        <w:ind w:left="851" w:hanging="431"/>
      </w:pPr>
      <w:rPr>
        <w:rFonts w:hint="default" w:ascii="Symbol" w:hAnsi="Symbol"/>
        <w:sz w:val="21"/>
      </w:rPr>
    </w:lvl>
    <w:lvl w:ilvl="2" w:tentative="0">
      <w:start w:val="1"/>
      <w:numFmt w:val="bullet"/>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2">
    <w:nsid w:val="44C50F90"/>
    <w:multiLevelType w:val="multilevel"/>
    <w:tmpl w:val="44C50F90"/>
    <w:lvl w:ilvl="0" w:tentative="0">
      <w:start w:val="1"/>
      <w:numFmt w:val="lowerLetter"/>
      <w:pStyle w:val="86"/>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
    <w:nsid w:val="456BBC6C"/>
    <w:multiLevelType w:val="singleLevel"/>
    <w:tmpl w:val="456BBC6C"/>
    <w:lvl w:ilvl="0" w:tentative="0">
      <w:start w:val="1"/>
      <w:numFmt w:val="lowerLetter"/>
      <w:lvlText w:val="%1."/>
      <w:lvlJc w:val="left"/>
      <w:pPr>
        <w:ind w:left="425" w:hanging="425"/>
      </w:pPr>
      <w:rPr>
        <w:rFonts w:hint="default"/>
      </w:rPr>
    </w:lvl>
  </w:abstractNum>
  <w:abstractNum w:abstractNumId="4">
    <w:nsid w:val="6C3E6073"/>
    <w:multiLevelType w:val="multilevel"/>
    <w:tmpl w:val="6C3E6073"/>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5">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 w:numId="2">
    <w:abstractNumId w:val="5"/>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hideSpellingErrors/>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footnotePr>
    <w:footnote w:id="14"/>
    <w:footnote w:id="15"/>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1&lt;/Suspended&gt;&lt;/ENInstantFormat&gt;"/>
    <w:docVar w:name="EN.Layout" w:val="&lt;ENLayout&gt;&lt;Style&gt;Environmental Health&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92tavvv9d9w0x7e2907vr9fiz9sszrrvte5t&quot;&gt;My EndNote Library 复制&lt;record-ids&gt;&lt;item&gt;120&lt;/item&gt;&lt;/record-ids&gt;&lt;/item&gt;&lt;/Libraries&gt;"/>
  </w:docVars>
  <w:rsids>
    <w:rsidRoot w:val="00520C64"/>
    <w:rsid w:val="00000649"/>
    <w:rsid w:val="000007CE"/>
    <w:rsid w:val="0000151A"/>
    <w:rsid w:val="00002F26"/>
    <w:rsid w:val="000077D3"/>
    <w:rsid w:val="00007C80"/>
    <w:rsid w:val="000102D5"/>
    <w:rsid w:val="0001233C"/>
    <w:rsid w:val="00015172"/>
    <w:rsid w:val="00015613"/>
    <w:rsid w:val="000162E0"/>
    <w:rsid w:val="0001756B"/>
    <w:rsid w:val="00020565"/>
    <w:rsid w:val="0002189F"/>
    <w:rsid w:val="00022255"/>
    <w:rsid w:val="00025DA2"/>
    <w:rsid w:val="0002624A"/>
    <w:rsid w:val="0002646D"/>
    <w:rsid w:val="00026877"/>
    <w:rsid w:val="00026C06"/>
    <w:rsid w:val="000270B1"/>
    <w:rsid w:val="000314D2"/>
    <w:rsid w:val="000317DB"/>
    <w:rsid w:val="00031F22"/>
    <w:rsid w:val="000413C3"/>
    <w:rsid w:val="00042222"/>
    <w:rsid w:val="00043A80"/>
    <w:rsid w:val="00047681"/>
    <w:rsid w:val="00047939"/>
    <w:rsid w:val="00052499"/>
    <w:rsid w:val="00056C83"/>
    <w:rsid w:val="000605C4"/>
    <w:rsid w:val="00062C27"/>
    <w:rsid w:val="00063EF7"/>
    <w:rsid w:val="00065ACF"/>
    <w:rsid w:val="00072696"/>
    <w:rsid w:val="00072D91"/>
    <w:rsid w:val="000735D6"/>
    <w:rsid w:val="00075B67"/>
    <w:rsid w:val="00076591"/>
    <w:rsid w:val="00077E4E"/>
    <w:rsid w:val="00077EEC"/>
    <w:rsid w:val="00077FB2"/>
    <w:rsid w:val="000811D0"/>
    <w:rsid w:val="00091E83"/>
    <w:rsid w:val="0009390F"/>
    <w:rsid w:val="00094DDE"/>
    <w:rsid w:val="000968D9"/>
    <w:rsid w:val="000A3F12"/>
    <w:rsid w:val="000A5424"/>
    <w:rsid w:val="000A7CDD"/>
    <w:rsid w:val="000B2D4C"/>
    <w:rsid w:val="000B326C"/>
    <w:rsid w:val="000B4DDD"/>
    <w:rsid w:val="000C4AF2"/>
    <w:rsid w:val="000C4E39"/>
    <w:rsid w:val="000C5A15"/>
    <w:rsid w:val="000D0664"/>
    <w:rsid w:val="000D5C15"/>
    <w:rsid w:val="000E33B1"/>
    <w:rsid w:val="000E529B"/>
    <w:rsid w:val="000E75B2"/>
    <w:rsid w:val="000E7756"/>
    <w:rsid w:val="000F4244"/>
    <w:rsid w:val="000F55DD"/>
    <w:rsid w:val="000F6BCC"/>
    <w:rsid w:val="000F782E"/>
    <w:rsid w:val="00100028"/>
    <w:rsid w:val="00101679"/>
    <w:rsid w:val="00102EFE"/>
    <w:rsid w:val="001105BE"/>
    <w:rsid w:val="0011229C"/>
    <w:rsid w:val="00114A4E"/>
    <w:rsid w:val="0011507A"/>
    <w:rsid w:val="00117F59"/>
    <w:rsid w:val="001230B6"/>
    <w:rsid w:val="00123F4D"/>
    <w:rsid w:val="001250E5"/>
    <w:rsid w:val="00131388"/>
    <w:rsid w:val="001330FB"/>
    <w:rsid w:val="00134F48"/>
    <w:rsid w:val="00136DF8"/>
    <w:rsid w:val="00140965"/>
    <w:rsid w:val="00141505"/>
    <w:rsid w:val="001454CE"/>
    <w:rsid w:val="00147461"/>
    <w:rsid w:val="001478E2"/>
    <w:rsid w:val="001513D8"/>
    <w:rsid w:val="001527D7"/>
    <w:rsid w:val="0015317C"/>
    <w:rsid w:val="001532A5"/>
    <w:rsid w:val="0015437A"/>
    <w:rsid w:val="00157ABC"/>
    <w:rsid w:val="00163304"/>
    <w:rsid w:val="00163919"/>
    <w:rsid w:val="00164855"/>
    <w:rsid w:val="001649B2"/>
    <w:rsid w:val="00165308"/>
    <w:rsid w:val="001656AF"/>
    <w:rsid w:val="00166498"/>
    <w:rsid w:val="001667D6"/>
    <w:rsid w:val="001710BA"/>
    <w:rsid w:val="00173B01"/>
    <w:rsid w:val="00176729"/>
    <w:rsid w:val="00176DB3"/>
    <w:rsid w:val="00176F13"/>
    <w:rsid w:val="00177904"/>
    <w:rsid w:val="001827CA"/>
    <w:rsid w:val="00185A32"/>
    <w:rsid w:val="00191F95"/>
    <w:rsid w:val="00192B82"/>
    <w:rsid w:val="0019527E"/>
    <w:rsid w:val="001A1047"/>
    <w:rsid w:val="001A245E"/>
    <w:rsid w:val="001A31DA"/>
    <w:rsid w:val="001A52B2"/>
    <w:rsid w:val="001A6F31"/>
    <w:rsid w:val="001B0743"/>
    <w:rsid w:val="001B1B32"/>
    <w:rsid w:val="001B200F"/>
    <w:rsid w:val="001B4266"/>
    <w:rsid w:val="001B590F"/>
    <w:rsid w:val="001C2E8F"/>
    <w:rsid w:val="001C7A17"/>
    <w:rsid w:val="001D1763"/>
    <w:rsid w:val="001D1C57"/>
    <w:rsid w:val="001D21BA"/>
    <w:rsid w:val="001D6308"/>
    <w:rsid w:val="001E184A"/>
    <w:rsid w:val="001E1990"/>
    <w:rsid w:val="001E1F9D"/>
    <w:rsid w:val="001E431C"/>
    <w:rsid w:val="001E64DB"/>
    <w:rsid w:val="001E693E"/>
    <w:rsid w:val="001E732B"/>
    <w:rsid w:val="001F125B"/>
    <w:rsid w:val="001F3408"/>
    <w:rsid w:val="001F4367"/>
    <w:rsid w:val="001F58EF"/>
    <w:rsid w:val="001F6876"/>
    <w:rsid w:val="00203934"/>
    <w:rsid w:val="002044B2"/>
    <w:rsid w:val="00204FB6"/>
    <w:rsid w:val="0020598C"/>
    <w:rsid w:val="00205C32"/>
    <w:rsid w:val="00207F57"/>
    <w:rsid w:val="0021521E"/>
    <w:rsid w:val="002155C0"/>
    <w:rsid w:val="00215D3D"/>
    <w:rsid w:val="0021612A"/>
    <w:rsid w:val="00216BAF"/>
    <w:rsid w:val="0022057B"/>
    <w:rsid w:val="002223AA"/>
    <w:rsid w:val="00223B3D"/>
    <w:rsid w:val="0022484B"/>
    <w:rsid w:val="00224F00"/>
    <w:rsid w:val="002313AE"/>
    <w:rsid w:val="002329CD"/>
    <w:rsid w:val="00232EE9"/>
    <w:rsid w:val="002339C1"/>
    <w:rsid w:val="00233E8C"/>
    <w:rsid w:val="0023405D"/>
    <w:rsid w:val="002345F9"/>
    <w:rsid w:val="002356B9"/>
    <w:rsid w:val="0024062D"/>
    <w:rsid w:val="0024134F"/>
    <w:rsid w:val="00241A34"/>
    <w:rsid w:val="00242011"/>
    <w:rsid w:val="002435EE"/>
    <w:rsid w:val="00243621"/>
    <w:rsid w:val="00245373"/>
    <w:rsid w:val="00246D32"/>
    <w:rsid w:val="0024712D"/>
    <w:rsid w:val="00250701"/>
    <w:rsid w:val="0025260E"/>
    <w:rsid w:val="00253A2B"/>
    <w:rsid w:val="00255AE2"/>
    <w:rsid w:val="002633D7"/>
    <w:rsid w:val="002647EF"/>
    <w:rsid w:val="00270197"/>
    <w:rsid w:val="00271752"/>
    <w:rsid w:val="00271E50"/>
    <w:rsid w:val="00271FBF"/>
    <w:rsid w:val="00272528"/>
    <w:rsid w:val="002752E1"/>
    <w:rsid w:val="0027584F"/>
    <w:rsid w:val="00277A22"/>
    <w:rsid w:val="00277EAB"/>
    <w:rsid w:val="00277FA6"/>
    <w:rsid w:val="00280E80"/>
    <w:rsid w:val="002814B1"/>
    <w:rsid w:val="00283646"/>
    <w:rsid w:val="00283EDD"/>
    <w:rsid w:val="00284507"/>
    <w:rsid w:val="00285D76"/>
    <w:rsid w:val="00287E18"/>
    <w:rsid w:val="00290737"/>
    <w:rsid w:val="002910C5"/>
    <w:rsid w:val="00291A95"/>
    <w:rsid w:val="00293DDF"/>
    <w:rsid w:val="0029463B"/>
    <w:rsid w:val="00295AE7"/>
    <w:rsid w:val="002A096E"/>
    <w:rsid w:val="002A0F74"/>
    <w:rsid w:val="002A1FC2"/>
    <w:rsid w:val="002A2041"/>
    <w:rsid w:val="002B1E2E"/>
    <w:rsid w:val="002B2E19"/>
    <w:rsid w:val="002B3479"/>
    <w:rsid w:val="002B41F7"/>
    <w:rsid w:val="002B5F08"/>
    <w:rsid w:val="002C28FB"/>
    <w:rsid w:val="002C49DD"/>
    <w:rsid w:val="002C4C31"/>
    <w:rsid w:val="002C7B14"/>
    <w:rsid w:val="002D00D3"/>
    <w:rsid w:val="002D0427"/>
    <w:rsid w:val="002D1C04"/>
    <w:rsid w:val="002D1D2C"/>
    <w:rsid w:val="002D1E76"/>
    <w:rsid w:val="002D20EB"/>
    <w:rsid w:val="002D3BB3"/>
    <w:rsid w:val="002D6A24"/>
    <w:rsid w:val="002E1034"/>
    <w:rsid w:val="002E27C2"/>
    <w:rsid w:val="002E2B9D"/>
    <w:rsid w:val="002E6D1B"/>
    <w:rsid w:val="002E7AB5"/>
    <w:rsid w:val="002F02E4"/>
    <w:rsid w:val="002F0C82"/>
    <w:rsid w:val="002F1241"/>
    <w:rsid w:val="002F3CE3"/>
    <w:rsid w:val="002F4AC3"/>
    <w:rsid w:val="002F708C"/>
    <w:rsid w:val="00301311"/>
    <w:rsid w:val="003023BB"/>
    <w:rsid w:val="00302457"/>
    <w:rsid w:val="00302747"/>
    <w:rsid w:val="003034DA"/>
    <w:rsid w:val="00304DED"/>
    <w:rsid w:val="003071DC"/>
    <w:rsid w:val="00315792"/>
    <w:rsid w:val="00315943"/>
    <w:rsid w:val="0031615F"/>
    <w:rsid w:val="003166DC"/>
    <w:rsid w:val="00316B13"/>
    <w:rsid w:val="003170F5"/>
    <w:rsid w:val="003178A2"/>
    <w:rsid w:val="00320B9B"/>
    <w:rsid w:val="00323FF7"/>
    <w:rsid w:val="003252A6"/>
    <w:rsid w:val="003260FD"/>
    <w:rsid w:val="00327609"/>
    <w:rsid w:val="00330A05"/>
    <w:rsid w:val="003320D7"/>
    <w:rsid w:val="00332214"/>
    <w:rsid w:val="00334D83"/>
    <w:rsid w:val="00336464"/>
    <w:rsid w:val="003412A5"/>
    <w:rsid w:val="0034142F"/>
    <w:rsid w:val="003415DC"/>
    <w:rsid w:val="00345424"/>
    <w:rsid w:val="00345919"/>
    <w:rsid w:val="00345A0B"/>
    <w:rsid w:val="00345D44"/>
    <w:rsid w:val="00350AAB"/>
    <w:rsid w:val="00351646"/>
    <w:rsid w:val="0035540E"/>
    <w:rsid w:val="00355B9C"/>
    <w:rsid w:val="0036138E"/>
    <w:rsid w:val="0036388F"/>
    <w:rsid w:val="00367EF7"/>
    <w:rsid w:val="00370C03"/>
    <w:rsid w:val="003716F1"/>
    <w:rsid w:val="00374D03"/>
    <w:rsid w:val="00374FD9"/>
    <w:rsid w:val="00380A3D"/>
    <w:rsid w:val="00381D24"/>
    <w:rsid w:val="00383CE8"/>
    <w:rsid w:val="00384177"/>
    <w:rsid w:val="00385265"/>
    <w:rsid w:val="00385ADD"/>
    <w:rsid w:val="0038656B"/>
    <w:rsid w:val="00386BE1"/>
    <w:rsid w:val="00386F9B"/>
    <w:rsid w:val="00387090"/>
    <w:rsid w:val="0039405C"/>
    <w:rsid w:val="0039512C"/>
    <w:rsid w:val="003A1389"/>
    <w:rsid w:val="003A1AF4"/>
    <w:rsid w:val="003A1D63"/>
    <w:rsid w:val="003A6692"/>
    <w:rsid w:val="003B183A"/>
    <w:rsid w:val="003B5751"/>
    <w:rsid w:val="003B66F5"/>
    <w:rsid w:val="003C0E4B"/>
    <w:rsid w:val="003C3A6B"/>
    <w:rsid w:val="003C748E"/>
    <w:rsid w:val="003D04D1"/>
    <w:rsid w:val="003D1796"/>
    <w:rsid w:val="003D2C9B"/>
    <w:rsid w:val="003D35BB"/>
    <w:rsid w:val="003D3FE0"/>
    <w:rsid w:val="003D426D"/>
    <w:rsid w:val="003D5AC3"/>
    <w:rsid w:val="003E2E8C"/>
    <w:rsid w:val="003E30DF"/>
    <w:rsid w:val="003F0AD2"/>
    <w:rsid w:val="003F0CEF"/>
    <w:rsid w:val="003F0F36"/>
    <w:rsid w:val="003F3D9D"/>
    <w:rsid w:val="003F4A4E"/>
    <w:rsid w:val="004005A2"/>
    <w:rsid w:val="0040099A"/>
    <w:rsid w:val="004009E9"/>
    <w:rsid w:val="00401A3D"/>
    <w:rsid w:val="004035EE"/>
    <w:rsid w:val="00405603"/>
    <w:rsid w:val="00407954"/>
    <w:rsid w:val="00412FB2"/>
    <w:rsid w:val="004130EF"/>
    <w:rsid w:val="00416A6E"/>
    <w:rsid w:val="00421142"/>
    <w:rsid w:val="004215E9"/>
    <w:rsid w:val="00421A60"/>
    <w:rsid w:val="00422A2B"/>
    <w:rsid w:val="00422BFE"/>
    <w:rsid w:val="004249A7"/>
    <w:rsid w:val="0042696D"/>
    <w:rsid w:val="004271AA"/>
    <w:rsid w:val="0042788B"/>
    <w:rsid w:val="00427D01"/>
    <w:rsid w:val="00430091"/>
    <w:rsid w:val="00430D2D"/>
    <w:rsid w:val="00431F58"/>
    <w:rsid w:val="004340B3"/>
    <w:rsid w:val="00435A33"/>
    <w:rsid w:val="00440BD9"/>
    <w:rsid w:val="004424C9"/>
    <w:rsid w:val="004434DA"/>
    <w:rsid w:val="004441C3"/>
    <w:rsid w:val="00452C46"/>
    <w:rsid w:val="00454611"/>
    <w:rsid w:val="00456680"/>
    <w:rsid w:val="0045671F"/>
    <w:rsid w:val="004575A6"/>
    <w:rsid w:val="00460B48"/>
    <w:rsid w:val="004617E8"/>
    <w:rsid w:val="0046220D"/>
    <w:rsid w:val="00473D74"/>
    <w:rsid w:val="004745E6"/>
    <w:rsid w:val="00474683"/>
    <w:rsid w:val="004748B8"/>
    <w:rsid w:val="00475269"/>
    <w:rsid w:val="00480816"/>
    <w:rsid w:val="004831EF"/>
    <w:rsid w:val="0048563E"/>
    <w:rsid w:val="00486F03"/>
    <w:rsid w:val="004924A0"/>
    <w:rsid w:val="00492AAC"/>
    <w:rsid w:val="004967D8"/>
    <w:rsid w:val="00496F64"/>
    <w:rsid w:val="00497E18"/>
    <w:rsid w:val="004A0664"/>
    <w:rsid w:val="004A1A06"/>
    <w:rsid w:val="004A471D"/>
    <w:rsid w:val="004A52BB"/>
    <w:rsid w:val="004A7815"/>
    <w:rsid w:val="004A79F5"/>
    <w:rsid w:val="004B2916"/>
    <w:rsid w:val="004B30F1"/>
    <w:rsid w:val="004B31EE"/>
    <w:rsid w:val="004B7B84"/>
    <w:rsid w:val="004B7DEC"/>
    <w:rsid w:val="004C016C"/>
    <w:rsid w:val="004C3E51"/>
    <w:rsid w:val="004C4081"/>
    <w:rsid w:val="004C759E"/>
    <w:rsid w:val="004C7ECB"/>
    <w:rsid w:val="004D2360"/>
    <w:rsid w:val="004D23AC"/>
    <w:rsid w:val="004D2973"/>
    <w:rsid w:val="004D642E"/>
    <w:rsid w:val="004D6C73"/>
    <w:rsid w:val="004D7905"/>
    <w:rsid w:val="004E0AD1"/>
    <w:rsid w:val="004E1A81"/>
    <w:rsid w:val="004E3F6D"/>
    <w:rsid w:val="004E411E"/>
    <w:rsid w:val="004E4E06"/>
    <w:rsid w:val="004F119C"/>
    <w:rsid w:val="004F1CBE"/>
    <w:rsid w:val="004F39F3"/>
    <w:rsid w:val="004F4D72"/>
    <w:rsid w:val="00500138"/>
    <w:rsid w:val="00500F83"/>
    <w:rsid w:val="00502278"/>
    <w:rsid w:val="005030DA"/>
    <w:rsid w:val="00505415"/>
    <w:rsid w:val="00506CE9"/>
    <w:rsid w:val="00506D2F"/>
    <w:rsid w:val="0051425D"/>
    <w:rsid w:val="00516EFD"/>
    <w:rsid w:val="00517305"/>
    <w:rsid w:val="00520C64"/>
    <w:rsid w:val="00521E38"/>
    <w:rsid w:val="00525B13"/>
    <w:rsid w:val="00526796"/>
    <w:rsid w:val="0053017B"/>
    <w:rsid w:val="005309EA"/>
    <w:rsid w:val="0053677D"/>
    <w:rsid w:val="00536D1E"/>
    <w:rsid w:val="00537439"/>
    <w:rsid w:val="00542F7E"/>
    <w:rsid w:val="005431B1"/>
    <w:rsid w:val="005440ED"/>
    <w:rsid w:val="00545149"/>
    <w:rsid w:val="00545F68"/>
    <w:rsid w:val="00546E96"/>
    <w:rsid w:val="00550CC7"/>
    <w:rsid w:val="00554849"/>
    <w:rsid w:val="0055532D"/>
    <w:rsid w:val="00555BE0"/>
    <w:rsid w:val="00557A70"/>
    <w:rsid w:val="005616DD"/>
    <w:rsid w:val="0056206C"/>
    <w:rsid w:val="00567846"/>
    <w:rsid w:val="0057238E"/>
    <w:rsid w:val="00572480"/>
    <w:rsid w:val="00573688"/>
    <w:rsid w:val="0057427F"/>
    <w:rsid w:val="0057560D"/>
    <w:rsid w:val="00576EDE"/>
    <w:rsid w:val="00577F61"/>
    <w:rsid w:val="00582109"/>
    <w:rsid w:val="00582554"/>
    <w:rsid w:val="0059254B"/>
    <w:rsid w:val="00592A4D"/>
    <w:rsid w:val="00592B33"/>
    <w:rsid w:val="00597416"/>
    <w:rsid w:val="005A0EB0"/>
    <w:rsid w:val="005A3C27"/>
    <w:rsid w:val="005A4916"/>
    <w:rsid w:val="005A4933"/>
    <w:rsid w:val="005B5A24"/>
    <w:rsid w:val="005C16BA"/>
    <w:rsid w:val="005C4334"/>
    <w:rsid w:val="005C65BB"/>
    <w:rsid w:val="005C7B48"/>
    <w:rsid w:val="005D2A13"/>
    <w:rsid w:val="005D2BCE"/>
    <w:rsid w:val="005D2E7C"/>
    <w:rsid w:val="005D3370"/>
    <w:rsid w:val="005E12D1"/>
    <w:rsid w:val="005E2FD2"/>
    <w:rsid w:val="005E7F7A"/>
    <w:rsid w:val="005F25B4"/>
    <w:rsid w:val="005F29E5"/>
    <w:rsid w:val="005F2EAC"/>
    <w:rsid w:val="005F3323"/>
    <w:rsid w:val="00601A99"/>
    <w:rsid w:val="0060464F"/>
    <w:rsid w:val="00607252"/>
    <w:rsid w:val="00610365"/>
    <w:rsid w:val="0061132A"/>
    <w:rsid w:val="0061437A"/>
    <w:rsid w:val="00615FA2"/>
    <w:rsid w:val="00621041"/>
    <w:rsid w:val="006221EE"/>
    <w:rsid w:val="006225D6"/>
    <w:rsid w:val="00622B46"/>
    <w:rsid w:val="00626B3B"/>
    <w:rsid w:val="00626DA6"/>
    <w:rsid w:val="00627896"/>
    <w:rsid w:val="00627988"/>
    <w:rsid w:val="006303C9"/>
    <w:rsid w:val="006316BE"/>
    <w:rsid w:val="0063409D"/>
    <w:rsid w:val="00634DFF"/>
    <w:rsid w:val="00635220"/>
    <w:rsid w:val="006358F4"/>
    <w:rsid w:val="00637F81"/>
    <w:rsid w:val="006426C9"/>
    <w:rsid w:val="006450DA"/>
    <w:rsid w:val="006468B9"/>
    <w:rsid w:val="00646A79"/>
    <w:rsid w:val="00646E15"/>
    <w:rsid w:val="00646EDF"/>
    <w:rsid w:val="006474DC"/>
    <w:rsid w:val="00647C51"/>
    <w:rsid w:val="0065579F"/>
    <w:rsid w:val="006578C7"/>
    <w:rsid w:val="00664BE7"/>
    <w:rsid w:val="00664D72"/>
    <w:rsid w:val="00665F8C"/>
    <w:rsid w:val="00670AAF"/>
    <w:rsid w:val="006727F7"/>
    <w:rsid w:val="006736BA"/>
    <w:rsid w:val="00675B9F"/>
    <w:rsid w:val="0067773C"/>
    <w:rsid w:val="00680791"/>
    <w:rsid w:val="006809A3"/>
    <w:rsid w:val="00683693"/>
    <w:rsid w:val="006849C7"/>
    <w:rsid w:val="006905A1"/>
    <w:rsid w:val="00691C65"/>
    <w:rsid w:val="0069297C"/>
    <w:rsid w:val="00693EF6"/>
    <w:rsid w:val="0069494E"/>
    <w:rsid w:val="00695ABA"/>
    <w:rsid w:val="006A3C80"/>
    <w:rsid w:val="006A496C"/>
    <w:rsid w:val="006A62D9"/>
    <w:rsid w:val="006B0C15"/>
    <w:rsid w:val="006B1432"/>
    <w:rsid w:val="006B3531"/>
    <w:rsid w:val="006B5462"/>
    <w:rsid w:val="006B6F13"/>
    <w:rsid w:val="006C137D"/>
    <w:rsid w:val="006C1BFC"/>
    <w:rsid w:val="006C26CD"/>
    <w:rsid w:val="006C2904"/>
    <w:rsid w:val="006C4A5E"/>
    <w:rsid w:val="006D0022"/>
    <w:rsid w:val="006D2D6D"/>
    <w:rsid w:val="006D346C"/>
    <w:rsid w:val="006D47B2"/>
    <w:rsid w:val="006D4B1E"/>
    <w:rsid w:val="006D5FF3"/>
    <w:rsid w:val="006D67DD"/>
    <w:rsid w:val="006E11E8"/>
    <w:rsid w:val="006E2AE6"/>
    <w:rsid w:val="006E479A"/>
    <w:rsid w:val="006E6782"/>
    <w:rsid w:val="006E7495"/>
    <w:rsid w:val="006F0F7E"/>
    <w:rsid w:val="006F3612"/>
    <w:rsid w:val="006F5F4C"/>
    <w:rsid w:val="00703A05"/>
    <w:rsid w:val="00706026"/>
    <w:rsid w:val="00707B1B"/>
    <w:rsid w:val="00707CB2"/>
    <w:rsid w:val="0071183D"/>
    <w:rsid w:val="00711C03"/>
    <w:rsid w:val="00713FC9"/>
    <w:rsid w:val="007146F0"/>
    <w:rsid w:val="007159C8"/>
    <w:rsid w:val="00715E6F"/>
    <w:rsid w:val="00721536"/>
    <w:rsid w:val="0072238F"/>
    <w:rsid w:val="00722A5D"/>
    <w:rsid w:val="007262C7"/>
    <w:rsid w:val="0073071A"/>
    <w:rsid w:val="00730A2B"/>
    <w:rsid w:val="00732B1A"/>
    <w:rsid w:val="00734D26"/>
    <w:rsid w:val="00740D66"/>
    <w:rsid w:val="0074273C"/>
    <w:rsid w:val="00745437"/>
    <w:rsid w:val="00746073"/>
    <w:rsid w:val="00747DF9"/>
    <w:rsid w:val="00751180"/>
    <w:rsid w:val="00752009"/>
    <w:rsid w:val="00754836"/>
    <w:rsid w:val="00755989"/>
    <w:rsid w:val="00757E5E"/>
    <w:rsid w:val="007621B7"/>
    <w:rsid w:val="0076329C"/>
    <w:rsid w:val="00763EE6"/>
    <w:rsid w:val="00765010"/>
    <w:rsid w:val="00767AC0"/>
    <w:rsid w:val="00771132"/>
    <w:rsid w:val="00771199"/>
    <w:rsid w:val="007719EB"/>
    <w:rsid w:val="007719F2"/>
    <w:rsid w:val="00773489"/>
    <w:rsid w:val="00775BAB"/>
    <w:rsid w:val="00775E8E"/>
    <w:rsid w:val="00780530"/>
    <w:rsid w:val="00781803"/>
    <w:rsid w:val="00781B22"/>
    <w:rsid w:val="00782A3F"/>
    <w:rsid w:val="0078512E"/>
    <w:rsid w:val="00787578"/>
    <w:rsid w:val="00787EBE"/>
    <w:rsid w:val="0079214E"/>
    <w:rsid w:val="0079316C"/>
    <w:rsid w:val="00795C1A"/>
    <w:rsid w:val="00796A5E"/>
    <w:rsid w:val="00796B83"/>
    <w:rsid w:val="00797381"/>
    <w:rsid w:val="00797CA5"/>
    <w:rsid w:val="007A1838"/>
    <w:rsid w:val="007A65F5"/>
    <w:rsid w:val="007A70E6"/>
    <w:rsid w:val="007B190D"/>
    <w:rsid w:val="007B2C7D"/>
    <w:rsid w:val="007B3605"/>
    <w:rsid w:val="007B3D68"/>
    <w:rsid w:val="007B4D00"/>
    <w:rsid w:val="007B5EF0"/>
    <w:rsid w:val="007B69B2"/>
    <w:rsid w:val="007B747C"/>
    <w:rsid w:val="007C12AE"/>
    <w:rsid w:val="007C2F3D"/>
    <w:rsid w:val="007C3ABA"/>
    <w:rsid w:val="007C4A30"/>
    <w:rsid w:val="007C68D8"/>
    <w:rsid w:val="007D08C6"/>
    <w:rsid w:val="007D1997"/>
    <w:rsid w:val="007D1FCB"/>
    <w:rsid w:val="007D2603"/>
    <w:rsid w:val="007D2B32"/>
    <w:rsid w:val="007D3CA5"/>
    <w:rsid w:val="007D4C5E"/>
    <w:rsid w:val="007D5414"/>
    <w:rsid w:val="007D65CC"/>
    <w:rsid w:val="007D6EE2"/>
    <w:rsid w:val="007E029D"/>
    <w:rsid w:val="007E1F74"/>
    <w:rsid w:val="007E2727"/>
    <w:rsid w:val="007E2CA0"/>
    <w:rsid w:val="007E67CF"/>
    <w:rsid w:val="007E7071"/>
    <w:rsid w:val="007F0057"/>
    <w:rsid w:val="007F0792"/>
    <w:rsid w:val="007F3A94"/>
    <w:rsid w:val="007F4E5D"/>
    <w:rsid w:val="007F5177"/>
    <w:rsid w:val="00800AC5"/>
    <w:rsid w:val="0080609A"/>
    <w:rsid w:val="00811E0F"/>
    <w:rsid w:val="00814795"/>
    <w:rsid w:val="00815FE1"/>
    <w:rsid w:val="008164F5"/>
    <w:rsid w:val="00816843"/>
    <w:rsid w:val="00816CBD"/>
    <w:rsid w:val="00816D61"/>
    <w:rsid w:val="00820B1F"/>
    <w:rsid w:val="00820DC2"/>
    <w:rsid w:val="0082242B"/>
    <w:rsid w:val="008226A2"/>
    <w:rsid w:val="00822848"/>
    <w:rsid w:val="00822A26"/>
    <w:rsid w:val="00824224"/>
    <w:rsid w:val="00825BE6"/>
    <w:rsid w:val="008271CC"/>
    <w:rsid w:val="008274F2"/>
    <w:rsid w:val="008302D2"/>
    <w:rsid w:val="0083129A"/>
    <w:rsid w:val="008316DF"/>
    <w:rsid w:val="008327CC"/>
    <w:rsid w:val="00832FD9"/>
    <w:rsid w:val="0083442D"/>
    <w:rsid w:val="0083586E"/>
    <w:rsid w:val="008407E3"/>
    <w:rsid w:val="00844500"/>
    <w:rsid w:val="00844B47"/>
    <w:rsid w:val="00844B90"/>
    <w:rsid w:val="00844FB9"/>
    <w:rsid w:val="008459DF"/>
    <w:rsid w:val="008515FA"/>
    <w:rsid w:val="00853A87"/>
    <w:rsid w:val="00855049"/>
    <w:rsid w:val="00857929"/>
    <w:rsid w:val="0086004F"/>
    <w:rsid w:val="00862833"/>
    <w:rsid w:val="00863631"/>
    <w:rsid w:val="00864638"/>
    <w:rsid w:val="00864C22"/>
    <w:rsid w:val="00864F86"/>
    <w:rsid w:val="00867CB1"/>
    <w:rsid w:val="00872035"/>
    <w:rsid w:val="0087235E"/>
    <w:rsid w:val="00874518"/>
    <w:rsid w:val="00875D7C"/>
    <w:rsid w:val="0087678A"/>
    <w:rsid w:val="008801EE"/>
    <w:rsid w:val="008821F8"/>
    <w:rsid w:val="00884DD7"/>
    <w:rsid w:val="00885609"/>
    <w:rsid w:val="00892A99"/>
    <w:rsid w:val="00893A7C"/>
    <w:rsid w:val="008958C6"/>
    <w:rsid w:val="008962EF"/>
    <w:rsid w:val="008A364E"/>
    <w:rsid w:val="008A6C49"/>
    <w:rsid w:val="008A6CB5"/>
    <w:rsid w:val="008A7FD4"/>
    <w:rsid w:val="008B44C5"/>
    <w:rsid w:val="008B5851"/>
    <w:rsid w:val="008B5FD6"/>
    <w:rsid w:val="008B75FE"/>
    <w:rsid w:val="008C002F"/>
    <w:rsid w:val="008C1B5D"/>
    <w:rsid w:val="008C3269"/>
    <w:rsid w:val="008C3CD6"/>
    <w:rsid w:val="008C45DC"/>
    <w:rsid w:val="008C4E87"/>
    <w:rsid w:val="008D0078"/>
    <w:rsid w:val="008D177D"/>
    <w:rsid w:val="008D2F30"/>
    <w:rsid w:val="008D3525"/>
    <w:rsid w:val="008D3D05"/>
    <w:rsid w:val="008D5279"/>
    <w:rsid w:val="008D6097"/>
    <w:rsid w:val="008D6851"/>
    <w:rsid w:val="008D6C70"/>
    <w:rsid w:val="008D779C"/>
    <w:rsid w:val="008D7ACB"/>
    <w:rsid w:val="008E0D15"/>
    <w:rsid w:val="008E2BC9"/>
    <w:rsid w:val="008E3513"/>
    <w:rsid w:val="008E7035"/>
    <w:rsid w:val="008E7176"/>
    <w:rsid w:val="008E766E"/>
    <w:rsid w:val="008F0E30"/>
    <w:rsid w:val="008F545A"/>
    <w:rsid w:val="008F5461"/>
    <w:rsid w:val="008F60F4"/>
    <w:rsid w:val="00901FEB"/>
    <w:rsid w:val="0090214A"/>
    <w:rsid w:val="00902333"/>
    <w:rsid w:val="00902A5F"/>
    <w:rsid w:val="009034F7"/>
    <w:rsid w:val="00903965"/>
    <w:rsid w:val="0090489C"/>
    <w:rsid w:val="00905E99"/>
    <w:rsid w:val="00906378"/>
    <w:rsid w:val="00906CFF"/>
    <w:rsid w:val="00910C7F"/>
    <w:rsid w:val="009117B9"/>
    <w:rsid w:val="0091312B"/>
    <w:rsid w:val="00913AE8"/>
    <w:rsid w:val="009164AE"/>
    <w:rsid w:val="009171C7"/>
    <w:rsid w:val="00917C0D"/>
    <w:rsid w:val="00917C74"/>
    <w:rsid w:val="00921BA2"/>
    <w:rsid w:val="00922119"/>
    <w:rsid w:val="009234DF"/>
    <w:rsid w:val="00932156"/>
    <w:rsid w:val="0093229E"/>
    <w:rsid w:val="009323E8"/>
    <w:rsid w:val="00933739"/>
    <w:rsid w:val="0093397C"/>
    <w:rsid w:val="00937EC2"/>
    <w:rsid w:val="009443DD"/>
    <w:rsid w:val="009471ED"/>
    <w:rsid w:val="00950F6F"/>
    <w:rsid w:val="00951EA8"/>
    <w:rsid w:val="00953C6D"/>
    <w:rsid w:val="00955099"/>
    <w:rsid w:val="0095532F"/>
    <w:rsid w:val="00961D5E"/>
    <w:rsid w:val="009657FF"/>
    <w:rsid w:val="00965C84"/>
    <w:rsid w:val="00965D73"/>
    <w:rsid w:val="00967D9D"/>
    <w:rsid w:val="0097074B"/>
    <w:rsid w:val="00970E1B"/>
    <w:rsid w:val="00971C47"/>
    <w:rsid w:val="00972B1E"/>
    <w:rsid w:val="009732C0"/>
    <w:rsid w:val="00973A70"/>
    <w:rsid w:val="00973EB1"/>
    <w:rsid w:val="009776FE"/>
    <w:rsid w:val="00980EFF"/>
    <w:rsid w:val="00981CA3"/>
    <w:rsid w:val="00983AC8"/>
    <w:rsid w:val="00984A8A"/>
    <w:rsid w:val="00985259"/>
    <w:rsid w:val="0099185B"/>
    <w:rsid w:val="00992F66"/>
    <w:rsid w:val="00994B3F"/>
    <w:rsid w:val="00997520"/>
    <w:rsid w:val="009A01F4"/>
    <w:rsid w:val="009A0CE5"/>
    <w:rsid w:val="009A11B7"/>
    <w:rsid w:val="009A1D15"/>
    <w:rsid w:val="009A6CD8"/>
    <w:rsid w:val="009A7FE2"/>
    <w:rsid w:val="009B5664"/>
    <w:rsid w:val="009B6E3F"/>
    <w:rsid w:val="009B709A"/>
    <w:rsid w:val="009B7E16"/>
    <w:rsid w:val="009C35D3"/>
    <w:rsid w:val="009C55CF"/>
    <w:rsid w:val="009C70B7"/>
    <w:rsid w:val="009C76E1"/>
    <w:rsid w:val="009D3313"/>
    <w:rsid w:val="009D4FA4"/>
    <w:rsid w:val="009E4539"/>
    <w:rsid w:val="009E5FF7"/>
    <w:rsid w:val="009E6659"/>
    <w:rsid w:val="009E6D4F"/>
    <w:rsid w:val="009E7706"/>
    <w:rsid w:val="009F15D2"/>
    <w:rsid w:val="009F1D68"/>
    <w:rsid w:val="009F3DD8"/>
    <w:rsid w:val="009F491E"/>
    <w:rsid w:val="009F5AFE"/>
    <w:rsid w:val="009F6256"/>
    <w:rsid w:val="009F714E"/>
    <w:rsid w:val="00A0092B"/>
    <w:rsid w:val="00A01A42"/>
    <w:rsid w:val="00A0218B"/>
    <w:rsid w:val="00A023C1"/>
    <w:rsid w:val="00A04ECA"/>
    <w:rsid w:val="00A068CF"/>
    <w:rsid w:val="00A06F83"/>
    <w:rsid w:val="00A118DB"/>
    <w:rsid w:val="00A14607"/>
    <w:rsid w:val="00A20706"/>
    <w:rsid w:val="00A2115E"/>
    <w:rsid w:val="00A21968"/>
    <w:rsid w:val="00A22D98"/>
    <w:rsid w:val="00A402B0"/>
    <w:rsid w:val="00A4099F"/>
    <w:rsid w:val="00A416D9"/>
    <w:rsid w:val="00A4414B"/>
    <w:rsid w:val="00A451EF"/>
    <w:rsid w:val="00A46D72"/>
    <w:rsid w:val="00A50AB3"/>
    <w:rsid w:val="00A53489"/>
    <w:rsid w:val="00A538CA"/>
    <w:rsid w:val="00A539D7"/>
    <w:rsid w:val="00A53B1F"/>
    <w:rsid w:val="00A56AEC"/>
    <w:rsid w:val="00A5770B"/>
    <w:rsid w:val="00A57E5A"/>
    <w:rsid w:val="00A6213C"/>
    <w:rsid w:val="00A62A3F"/>
    <w:rsid w:val="00A62F66"/>
    <w:rsid w:val="00A65588"/>
    <w:rsid w:val="00A657D7"/>
    <w:rsid w:val="00A65862"/>
    <w:rsid w:val="00A678C4"/>
    <w:rsid w:val="00A709D2"/>
    <w:rsid w:val="00A71B25"/>
    <w:rsid w:val="00A72E86"/>
    <w:rsid w:val="00A759E6"/>
    <w:rsid w:val="00A75FFE"/>
    <w:rsid w:val="00A77C04"/>
    <w:rsid w:val="00A823C2"/>
    <w:rsid w:val="00A8571A"/>
    <w:rsid w:val="00A863F3"/>
    <w:rsid w:val="00A86C72"/>
    <w:rsid w:val="00A86D5F"/>
    <w:rsid w:val="00A87D3B"/>
    <w:rsid w:val="00A911A1"/>
    <w:rsid w:val="00A9452B"/>
    <w:rsid w:val="00A96B6E"/>
    <w:rsid w:val="00A96DBB"/>
    <w:rsid w:val="00A97B18"/>
    <w:rsid w:val="00A97CD1"/>
    <w:rsid w:val="00AA101D"/>
    <w:rsid w:val="00AA41AA"/>
    <w:rsid w:val="00AB174C"/>
    <w:rsid w:val="00AB1826"/>
    <w:rsid w:val="00AB196C"/>
    <w:rsid w:val="00AB26BF"/>
    <w:rsid w:val="00AB3448"/>
    <w:rsid w:val="00AB3AEF"/>
    <w:rsid w:val="00AB502B"/>
    <w:rsid w:val="00AB54EA"/>
    <w:rsid w:val="00AB5608"/>
    <w:rsid w:val="00AB5D89"/>
    <w:rsid w:val="00AB6284"/>
    <w:rsid w:val="00AB6C38"/>
    <w:rsid w:val="00AB71DE"/>
    <w:rsid w:val="00AB735A"/>
    <w:rsid w:val="00AC0A9D"/>
    <w:rsid w:val="00AC45AF"/>
    <w:rsid w:val="00AC6825"/>
    <w:rsid w:val="00AD0B81"/>
    <w:rsid w:val="00AD2177"/>
    <w:rsid w:val="00AD3973"/>
    <w:rsid w:val="00AD4414"/>
    <w:rsid w:val="00AD4619"/>
    <w:rsid w:val="00AD5ADF"/>
    <w:rsid w:val="00AE0158"/>
    <w:rsid w:val="00AE131D"/>
    <w:rsid w:val="00AE2F54"/>
    <w:rsid w:val="00AF0501"/>
    <w:rsid w:val="00AF321C"/>
    <w:rsid w:val="00AF795D"/>
    <w:rsid w:val="00B00353"/>
    <w:rsid w:val="00B00CB7"/>
    <w:rsid w:val="00B013C8"/>
    <w:rsid w:val="00B018BD"/>
    <w:rsid w:val="00B01CB9"/>
    <w:rsid w:val="00B14745"/>
    <w:rsid w:val="00B17FA1"/>
    <w:rsid w:val="00B20626"/>
    <w:rsid w:val="00B20B1B"/>
    <w:rsid w:val="00B23223"/>
    <w:rsid w:val="00B27CB4"/>
    <w:rsid w:val="00B30E8A"/>
    <w:rsid w:val="00B32062"/>
    <w:rsid w:val="00B32C83"/>
    <w:rsid w:val="00B37E48"/>
    <w:rsid w:val="00B400DF"/>
    <w:rsid w:val="00B40A29"/>
    <w:rsid w:val="00B44925"/>
    <w:rsid w:val="00B44B86"/>
    <w:rsid w:val="00B45BF1"/>
    <w:rsid w:val="00B46180"/>
    <w:rsid w:val="00B50CF7"/>
    <w:rsid w:val="00B538FA"/>
    <w:rsid w:val="00B55751"/>
    <w:rsid w:val="00B56CE5"/>
    <w:rsid w:val="00B57328"/>
    <w:rsid w:val="00B6160B"/>
    <w:rsid w:val="00B64D4A"/>
    <w:rsid w:val="00B70BE1"/>
    <w:rsid w:val="00B73880"/>
    <w:rsid w:val="00B7397C"/>
    <w:rsid w:val="00B74EA0"/>
    <w:rsid w:val="00B77985"/>
    <w:rsid w:val="00B82DD8"/>
    <w:rsid w:val="00B833C7"/>
    <w:rsid w:val="00B90D63"/>
    <w:rsid w:val="00B9121B"/>
    <w:rsid w:val="00B91F0F"/>
    <w:rsid w:val="00B9282C"/>
    <w:rsid w:val="00B948C6"/>
    <w:rsid w:val="00B95E71"/>
    <w:rsid w:val="00B96068"/>
    <w:rsid w:val="00BA1B63"/>
    <w:rsid w:val="00BA2631"/>
    <w:rsid w:val="00BA2817"/>
    <w:rsid w:val="00BA7F90"/>
    <w:rsid w:val="00BB0803"/>
    <w:rsid w:val="00BB3B32"/>
    <w:rsid w:val="00BB5248"/>
    <w:rsid w:val="00BB5B0D"/>
    <w:rsid w:val="00BB6A6A"/>
    <w:rsid w:val="00BC1A45"/>
    <w:rsid w:val="00BC2476"/>
    <w:rsid w:val="00BC2BEF"/>
    <w:rsid w:val="00BC3B7C"/>
    <w:rsid w:val="00BC4322"/>
    <w:rsid w:val="00BC55CD"/>
    <w:rsid w:val="00BE17A2"/>
    <w:rsid w:val="00BE4EBB"/>
    <w:rsid w:val="00BE54FF"/>
    <w:rsid w:val="00BF1972"/>
    <w:rsid w:val="00BF311C"/>
    <w:rsid w:val="00BF3DE2"/>
    <w:rsid w:val="00BF588E"/>
    <w:rsid w:val="00BF6568"/>
    <w:rsid w:val="00C00A74"/>
    <w:rsid w:val="00C0164E"/>
    <w:rsid w:val="00C01AED"/>
    <w:rsid w:val="00C01FD5"/>
    <w:rsid w:val="00C0441B"/>
    <w:rsid w:val="00C049D2"/>
    <w:rsid w:val="00C0632D"/>
    <w:rsid w:val="00C07444"/>
    <w:rsid w:val="00C12CCD"/>
    <w:rsid w:val="00C12E03"/>
    <w:rsid w:val="00C140C6"/>
    <w:rsid w:val="00C14F45"/>
    <w:rsid w:val="00C152D0"/>
    <w:rsid w:val="00C15E02"/>
    <w:rsid w:val="00C169BF"/>
    <w:rsid w:val="00C225DE"/>
    <w:rsid w:val="00C24D91"/>
    <w:rsid w:val="00C24FB2"/>
    <w:rsid w:val="00C25B9C"/>
    <w:rsid w:val="00C25FEE"/>
    <w:rsid w:val="00C2695F"/>
    <w:rsid w:val="00C32E95"/>
    <w:rsid w:val="00C3427C"/>
    <w:rsid w:val="00C35BED"/>
    <w:rsid w:val="00C37F2B"/>
    <w:rsid w:val="00C4021D"/>
    <w:rsid w:val="00C41A06"/>
    <w:rsid w:val="00C42049"/>
    <w:rsid w:val="00C465F8"/>
    <w:rsid w:val="00C46622"/>
    <w:rsid w:val="00C46A14"/>
    <w:rsid w:val="00C46E47"/>
    <w:rsid w:val="00C5214A"/>
    <w:rsid w:val="00C5363C"/>
    <w:rsid w:val="00C54F46"/>
    <w:rsid w:val="00C55DD1"/>
    <w:rsid w:val="00C57148"/>
    <w:rsid w:val="00C61016"/>
    <w:rsid w:val="00C6136C"/>
    <w:rsid w:val="00C622F9"/>
    <w:rsid w:val="00C65692"/>
    <w:rsid w:val="00C701D8"/>
    <w:rsid w:val="00C70DFE"/>
    <w:rsid w:val="00C7365D"/>
    <w:rsid w:val="00C80C97"/>
    <w:rsid w:val="00C81078"/>
    <w:rsid w:val="00C82476"/>
    <w:rsid w:val="00C8714A"/>
    <w:rsid w:val="00C92045"/>
    <w:rsid w:val="00C92F39"/>
    <w:rsid w:val="00C952F6"/>
    <w:rsid w:val="00C95CFD"/>
    <w:rsid w:val="00CA1AA2"/>
    <w:rsid w:val="00CA2077"/>
    <w:rsid w:val="00CA22B4"/>
    <w:rsid w:val="00CA2888"/>
    <w:rsid w:val="00CA2F4A"/>
    <w:rsid w:val="00CA40B7"/>
    <w:rsid w:val="00CA4B2D"/>
    <w:rsid w:val="00CA4D24"/>
    <w:rsid w:val="00CA5B29"/>
    <w:rsid w:val="00CA6646"/>
    <w:rsid w:val="00CA6C21"/>
    <w:rsid w:val="00CB2572"/>
    <w:rsid w:val="00CC04B3"/>
    <w:rsid w:val="00CC38C6"/>
    <w:rsid w:val="00CC41AC"/>
    <w:rsid w:val="00CC787F"/>
    <w:rsid w:val="00CD0BFE"/>
    <w:rsid w:val="00CD2E52"/>
    <w:rsid w:val="00CD47B7"/>
    <w:rsid w:val="00CE2B91"/>
    <w:rsid w:val="00CE3019"/>
    <w:rsid w:val="00CE43FE"/>
    <w:rsid w:val="00CE474B"/>
    <w:rsid w:val="00CE5428"/>
    <w:rsid w:val="00CE5D3A"/>
    <w:rsid w:val="00CE66C0"/>
    <w:rsid w:val="00CE79CE"/>
    <w:rsid w:val="00CF313C"/>
    <w:rsid w:val="00CF41DB"/>
    <w:rsid w:val="00CF6061"/>
    <w:rsid w:val="00D00510"/>
    <w:rsid w:val="00D00ED6"/>
    <w:rsid w:val="00D04B09"/>
    <w:rsid w:val="00D05673"/>
    <w:rsid w:val="00D05F66"/>
    <w:rsid w:val="00D06B66"/>
    <w:rsid w:val="00D077C4"/>
    <w:rsid w:val="00D11BB4"/>
    <w:rsid w:val="00D11F7E"/>
    <w:rsid w:val="00D13464"/>
    <w:rsid w:val="00D20028"/>
    <w:rsid w:val="00D21D8D"/>
    <w:rsid w:val="00D22B40"/>
    <w:rsid w:val="00D238CD"/>
    <w:rsid w:val="00D24FB1"/>
    <w:rsid w:val="00D264A8"/>
    <w:rsid w:val="00D27DB8"/>
    <w:rsid w:val="00D333FF"/>
    <w:rsid w:val="00D34887"/>
    <w:rsid w:val="00D35E86"/>
    <w:rsid w:val="00D36770"/>
    <w:rsid w:val="00D36CA5"/>
    <w:rsid w:val="00D418B5"/>
    <w:rsid w:val="00D42384"/>
    <w:rsid w:val="00D47238"/>
    <w:rsid w:val="00D534B5"/>
    <w:rsid w:val="00D558ED"/>
    <w:rsid w:val="00D55D97"/>
    <w:rsid w:val="00D5656E"/>
    <w:rsid w:val="00D60576"/>
    <w:rsid w:val="00D6158B"/>
    <w:rsid w:val="00D636FD"/>
    <w:rsid w:val="00D63A9F"/>
    <w:rsid w:val="00D65881"/>
    <w:rsid w:val="00D6652A"/>
    <w:rsid w:val="00D66B5A"/>
    <w:rsid w:val="00D70FC3"/>
    <w:rsid w:val="00D802A9"/>
    <w:rsid w:val="00D839B7"/>
    <w:rsid w:val="00D863E4"/>
    <w:rsid w:val="00D90685"/>
    <w:rsid w:val="00D9264A"/>
    <w:rsid w:val="00D9356D"/>
    <w:rsid w:val="00D938D5"/>
    <w:rsid w:val="00D952E6"/>
    <w:rsid w:val="00D966EB"/>
    <w:rsid w:val="00DA160F"/>
    <w:rsid w:val="00DA2EB9"/>
    <w:rsid w:val="00DA5C34"/>
    <w:rsid w:val="00DA767C"/>
    <w:rsid w:val="00DA7D10"/>
    <w:rsid w:val="00DB0DDB"/>
    <w:rsid w:val="00DB1223"/>
    <w:rsid w:val="00DB55B5"/>
    <w:rsid w:val="00DC1402"/>
    <w:rsid w:val="00DC2401"/>
    <w:rsid w:val="00DC2876"/>
    <w:rsid w:val="00DC4E40"/>
    <w:rsid w:val="00DC51FB"/>
    <w:rsid w:val="00DC5F9F"/>
    <w:rsid w:val="00DC70B6"/>
    <w:rsid w:val="00DC7472"/>
    <w:rsid w:val="00DD08B1"/>
    <w:rsid w:val="00DD0960"/>
    <w:rsid w:val="00DD7489"/>
    <w:rsid w:val="00DE6A8E"/>
    <w:rsid w:val="00DF10A4"/>
    <w:rsid w:val="00DF119A"/>
    <w:rsid w:val="00DF186F"/>
    <w:rsid w:val="00DF25E0"/>
    <w:rsid w:val="00DF41B7"/>
    <w:rsid w:val="00DF4B20"/>
    <w:rsid w:val="00DF6133"/>
    <w:rsid w:val="00DF6D85"/>
    <w:rsid w:val="00E03014"/>
    <w:rsid w:val="00E041D7"/>
    <w:rsid w:val="00E05DF7"/>
    <w:rsid w:val="00E06935"/>
    <w:rsid w:val="00E10448"/>
    <w:rsid w:val="00E119E6"/>
    <w:rsid w:val="00E16801"/>
    <w:rsid w:val="00E27C93"/>
    <w:rsid w:val="00E30BD6"/>
    <w:rsid w:val="00E30E63"/>
    <w:rsid w:val="00E30F42"/>
    <w:rsid w:val="00E34513"/>
    <w:rsid w:val="00E34526"/>
    <w:rsid w:val="00E36C18"/>
    <w:rsid w:val="00E37E4D"/>
    <w:rsid w:val="00E41EAE"/>
    <w:rsid w:val="00E42008"/>
    <w:rsid w:val="00E42A4C"/>
    <w:rsid w:val="00E43055"/>
    <w:rsid w:val="00E44116"/>
    <w:rsid w:val="00E44598"/>
    <w:rsid w:val="00E539EC"/>
    <w:rsid w:val="00E56514"/>
    <w:rsid w:val="00E569EE"/>
    <w:rsid w:val="00E60DDE"/>
    <w:rsid w:val="00E62B11"/>
    <w:rsid w:val="00E6308F"/>
    <w:rsid w:val="00E6391E"/>
    <w:rsid w:val="00E64DD1"/>
    <w:rsid w:val="00E673A7"/>
    <w:rsid w:val="00E675BE"/>
    <w:rsid w:val="00E719F5"/>
    <w:rsid w:val="00E721A0"/>
    <w:rsid w:val="00E75DD7"/>
    <w:rsid w:val="00E77629"/>
    <w:rsid w:val="00E8213E"/>
    <w:rsid w:val="00E82ABE"/>
    <w:rsid w:val="00E84EF6"/>
    <w:rsid w:val="00E85954"/>
    <w:rsid w:val="00E86005"/>
    <w:rsid w:val="00E9017D"/>
    <w:rsid w:val="00E90A80"/>
    <w:rsid w:val="00E917F8"/>
    <w:rsid w:val="00E92192"/>
    <w:rsid w:val="00E92EC3"/>
    <w:rsid w:val="00E9475C"/>
    <w:rsid w:val="00E956D4"/>
    <w:rsid w:val="00E956DD"/>
    <w:rsid w:val="00E95BA7"/>
    <w:rsid w:val="00EA2A8B"/>
    <w:rsid w:val="00EA496D"/>
    <w:rsid w:val="00EA5CAB"/>
    <w:rsid w:val="00EA7E8C"/>
    <w:rsid w:val="00EB1893"/>
    <w:rsid w:val="00EB2E22"/>
    <w:rsid w:val="00EB64B6"/>
    <w:rsid w:val="00EC0AF8"/>
    <w:rsid w:val="00EC1369"/>
    <w:rsid w:val="00EC13CB"/>
    <w:rsid w:val="00EC18DC"/>
    <w:rsid w:val="00EC1B4F"/>
    <w:rsid w:val="00EC7D64"/>
    <w:rsid w:val="00ED2A54"/>
    <w:rsid w:val="00ED2DE9"/>
    <w:rsid w:val="00ED7F51"/>
    <w:rsid w:val="00EE0863"/>
    <w:rsid w:val="00EE129A"/>
    <w:rsid w:val="00EE13A1"/>
    <w:rsid w:val="00EE1D9A"/>
    <w:rsid w:val="00EE3C72"/>
    <w:rsid w:val="00EE4951"/>
    <w:rsid w:val="00EE6F86"/>
    <w:rsid w:val="00EF084D"/>
    <w:rsid w:val="00EF12F8"/>
    <w:rsid w:val="00EF1309"/>
    <w:rsid w:val="00EF4263"/>
    <w:rsid w:val="00EF4654"/>
    <w:rsid w:val="00EF5D57"/>
    <w:rsid w:val="00EF695C"/>
    <w:rsid w:val="00EF775C"/>
    <w:rsid w:val="00F04213"/>
    <w:rsid w:val="00F049E8"/>
    <w:rsid w:val="00F04DD1"/>
    <w:rsid w:val="00F1026D"/>
    <w:rsid w:val="00F1095F"/>
    <w:rsid w:val="00F10CC1"/>
    <w:rsid w:val="00F12489"/>
    <w:rsid w:val="00F13D7E"/>
    <w:rsid w:val="00F15863"/>
    <w:rsid w:val="00F17F8A"/>
    <w:rsid w:val="00F23349"/>
    <w:rsid w:val="00F23E64"/>
    <w:rsid w:val="00F25131"/>
    <w:rsid w:val="00F25955"/>
    <w:rsid w:val="00F3166B"/>
    <w:rsid w:val="00F326EE"/>
    <w:rsid w:val="00F35611"/>
    <w:rsid w:val="00F37FAC"/>
    <w:rsid w:val="00F41049"/>
    <w:rsid w:val="00F45469"/>
    <w:rsid w:val="00F5148B"/>
    <w:rsid w:val="00F5216F"/>
    <w:rsid w:val="00F549FB"/>
    <w:rsid w:val="00F56977"/>
    <w:rsid w:val="00F56A63"/>
    <w:rsid w:val="00F574C8"/>
    <w:rsid w:val="00F57D28"/>
    <w:rsid w:val="00F61202"/>
    <w:rsid w:val="00F72BB6"/>
    <w:rsid w:val="00F74FA8"/>
    <w:rsid w:val="00F7522A"/>
    <w:rsid w:val="00F765A4"/>
    <w:rsid w:val="00F7790F"/>
    <w:rsid w:val="00F779BC"/>
    <w:rsid w:val="00F803E7"/>
    <w:rsid w:val="00F822D1"/>
    <w:rsid w:val="00F832A8"/>
    <w:rsid w:val="00F83FE7"/>
    <w:rsid w:val="00F87BC4"/>
    <w:rsid w:val="00F93F96"/>
    <w:rsid w:val="00F941CA"/>
    <w:rsid w:val="00F94B9B"/>
    <w:rsid w:val="00F95DEA"/>
    <w:rsid w:val="00F97A32"/>
    <w:rsid w:val="00FA1B82"/>
    <w:rsid w:val="00FA4284"/>
    <w:rsid w:val="00FA6EB3"/>
    <w:rsid w:val="00FB1C19"/>
    <w:rsid w:val="00FB3248"/>
    <w:rsid w:val="00FB35DD"/>
    <w:rsid w:val="00FB3951"/>
    <w:rsid w:val="00FB39B4"/>
    <w:rsid w:val="00FB6357"/>
    <w:rsid w:val="00FB7540"/>
    <w:rsid w:val="00FB78EC"/>
    <w:rsid w:val="00FC0DF3"/>
    <w:rsid w:val="00FC247A"/>
    <w:rsid w:val="00FC2824"/>
    <w:rsid w:val="00FC6126"/>
    <w:rsid w:val="00FC719A"/>
    <w:rsid w:val="00FD60AF"/>
    <w:rsid w:val="00FD66D2"/>
    <w:rsid w:val="00FE0AE4"/>
    <w:rsid w:val="00FE2D72"/>
    <w:rsid w:val="00FE411D"/>
    <w:rsid w:val="00FE48C3"/>
    <w:rsid w:val="00FE5885"/>
    <w:rsid w:val="00FE5DF6"/>
    <w:rsid w:val="00FF4029"/>
    <w:rsid w:val="00FF40D1"/>
    <w:rsid w:val="00FF54EF"/>
    <w:rsid w:val="00FF7319"/>
    <w:rsid w:val="00FF75F0"/>
    <w:rsid w:val="01077F8F"/>
    <w:rsid w:val="011B3300"/>
    <w:rsid w:val="01382B7D"/>
    <w:rsid w:val="013E61E2"/>
    <w:rsid w:val="01A513CE"/>
    <w:rsid w:val="01A81D9E"/>
    <w:rsid w:val="01B42765"/>
    <w:rsid w:val="01FF3BC3"/>
    <w:rsid w:val="020F54DA"/>
    <w:rsid w:val="023B2DC4"/>
    <w:rsid w:val="024471EC"/>
    <w:rsid w:val="02765598"/>
    <w:rsid w:val="0290311F"/>
    <w:rsid w:val="02DF3616"/>
    <w:rsid w:val="02EC31EC"/>
    <w:rsid w:val="02FD734A"/>
    <w:rsid w:val="033A0C2B"/>
    <w:rsid w:val="03592654"/>
    <w:rsid w:val="037747F0"/>
    <w:rsid w:val="03F81B1E"/>
    <w:rsid w:val="040600DB"/>
    <w:rsid w:val="04074A2A"/>
    <w:rsid w:val="048E4147"/>
    <w:rsid w:val="04AC6D15"/>
    <w:rsid w:val="053D1B9E"/>
    <w:rsid w:val="058F4632"/>
    <w:rsid w:val="05D610DF"/>
    <w:rsid w:val="05E02181"/>
    <w:rsid w:val="05E11832"/>
    <w:rsid w:val="05FD6958"/>
    <w:rsid w:val="06BC70F9"/>
    <w:rsid w:val="07022A8F"/>
    <w:rsid w:val="07117EF5"/>
    <w:rsid w:val="07336B74"/>
    <w:rsid w:val="073F0B85"/>
    <w:rsid w:val="07417757"/>
    <w:rsid w:val="0747272B"/>
    <w:rsid w:val="08B234D4"/>
    <w:rsid w:val="08BC69F4"/>
    <w:rsid w:val="08CE556A"/>
    <w:rsid w:val="090F5A0D"/>
    <w:rsid w:val="0928436E"/>
    <w:rsid w:val="09491BC8"/>
    <w:rsid w:val="09496E75"/>
    <w:rsid w:val="095158B9"/>
    <w:rsid w:val="09B2776D"/>
    <w:rsid w:val="09C337D2"/>
    <w:rsid w:val="0A1270E8"/>
    <w:rsid w:val="0A18647F"/>
    <w:rsid w:val="0A525725"/>
    <w:rsid w:val="0A945F90"/>
    <w:rsid w:val="0AF16A15"/>
    <w:rsid w:val="0B14633D"/>
    <w:rsid w:val="0B265E18"/>
    <w:rsid w:val="0B556CDF"/>
    <w:rsid w:val="0B785C4C"/>
    <w:rsid w:val="0B9360AE"/>
    <w:rsid w:val="0B995230"/>
    <w:rsid w:val="0BDF4308"/>
    <w:rsid w:val="0BEA58E4"/>
    <w:rsid w:val="0C2671FD"/>
    <w:rsid w:val="0C331801"/>
    <w:rsid w:val="0C41302A"/>
    <w:rsid w:val="0C926848"/>
    <w:rsid w:val="0CA02447"/>
    <w:rsid w:val="0CE92FB8"/>
    <w:rsid w:val="0D0753D1"/>
    <w:rsid w:val="0D077DD0"/>
    <w:rsid w:val="0D60645D"/>
    <w:rsid w:val="0D6C06A5"/>
    <w:rsid w:val="0DAB4BFF"/>
    <w:rsid w:val="0DC161D1"/>
    <w:rsid w:val="0E01593E"/>
    <w:rsid w:val="0E511753"/>
    <w:rsid w:val="0EB82AA2"/>
    <w:rsid w:val="0EF95E3E"/>
    <w:rsid w:val="0F98447D"/>
    <w:rsid w:val="0FF36CB9"/>
    <w:rsid w:val="103119EF"/>
    <w:rsid w:val="1057106E"/>
    <w:rsid w:val="108C05CA"/>
    <w:rsid w:val="10966863"/>
    <w:rsid w:val="109B2A18"/>
    <w:rsid w:val="10E96908"/>
    <w:rsid w:val="111C1D4A"/>
    <w:rsid w:val="1191041B"/>
    <w:rsid w:val="11951E4E"/>
    <w:rsid w:val="11C24C0D"/>
    <w:rsid w:val="11D85BD5"/>
    <w:rsid w:val="11F6337B"/>
    <w:rsid w:val="124471BE"/>
    <w:rsid w:val="12535865"/>
    <w:rsid w:val="12787865"/>
    <w:rsid w:val="12861D78"/>
    <w:rsid w:val="12C13A88"/>
    <w:rsid w:val="12CC4CC0"/>
    <w:rsid w:val="1312127D"/>
    <w:rsid w:val="1324792E"/>
    <w:rsid w:val="136E6DFB"/>
    <w:rsid w:val="137C4FFF"/>
    <w:rsid w:val="140D2636"/>
    <w:rsid w:val="14136F91"/>
    <w:rsid w:val="147F6DE6"/>
    <w:rsid w:val="14D26A57"/>
    <w:rsid w:val="15347CE9"/>
    <w:rsid w:val="154F6827"/>
    <w:rsid w:val="158C1391"/>
    <w:rsid w:val="15B56679"/>
    <w:rsid w:val="15EF0373"/>
    <w:rsid w:val="15F5119A"/>
    <w:rsid w:val="16067937"/>
    <w:rsid w:val="16165F18"/>
    <w:rsid w:val="161B5299"/>
    <w:rsid w:val="1634673B"/>
    <w:rsid w:val="164755A2"/>
    <w:rsid w:val="16CD0C24"/>
    <w:rsid w:val="17901F35"/>
    <w:rsid w:val="181C79C5"/>
    <w:rsid w:val="18636AEA"/>
    <w:rsid w:val="19B90B8B"/>
    <w:rsid w:val="1A8011C2"/>
    <w:rsid w:val="1A9A6727"/>
    <w:rsid w:val="1AA35FDD"/>
    <w:rsid w:val="1B3252D6"/>
    <w:rsid w:val="1B492C62"/>
    <w:rsid w:val="1B75420E"/>
    <w:rsid w:val="1BE7268E"/>
    <w:rsid w:val="1BF72EB6"/>
    <w:rsid w:val="1C2C53F6"/>
    <w:rsid w:val="1C315045"/>
    <w:rsid w:val="1C3A794B"/>
    <w:rsid w:val="1C674CFA"/>
    <w:rsid w:val="1CC2502E"/>
    <w:rsid w:val="1CC67062"/>
    <w:rsid w:val="1CCA24BD"/>
    <w:rsid w:val="1CD22D74"/>
    <w:rsid w:val="1CE471BB"/>
    <w:rsid w:val="1D026749"/>
    <w:rsid w:val="1D243AB7"/>
    <w:rsid w:val="1D295B40"/>
    <w:rsid w:val="1D3B7B1C"/>
    <w:rsid w:val="1D762B36"/>
    <w:rsid w:val="1D8C706B"/>
    <w:rsid w:val="1E6F4E3A"/>
    <w:rsid w:val="1ED134D7"/>
    <w:rsid w:val="1EFF73D5"/>
    <w:rsid w:val="1F2B76C7"/>
    <w:rsid w:val="1F400656"/>
    <w:rsid w:val="1FA60A9C"/>
    <w:rsid w:val="1FC6612F"/>
    <w:rsid w:val="201C62F8"/>
    <w:rsid w:val="202C5D2C"/>
    <w:rsid w:val="20603745"/>
    <w:rsid w:val="207039C2"/>
    <w:rsid w:val="20870832"/>
    <w:rsid w:val="20AE6755"/>
    <w:rsid w:val="20C10497"/>
    <w:rsid w:val="215F631F"/>
    <w:rsid w:val="21B655D7"/>
    <w:rsid w:val="21C87416"/>
    <w:rsid w:val="21C92D57"/>
    <w:rsid w:val="21E02D11"/>
    <w:rsid w:val="223213F5"/>
    <w:rsid w:val="22D147BD"/>
    <w:rsid w:val="22D27B33"/>
    <w:rsid w:val="22E43881"/>
    <w:rsid w:val="22EE1714"/>
    <w:rsid w:val="23627766"/>
    <w:rsid w:val="237A62C6"/>
    <w:rsid w:val="237F64BA"/>
    <w:rsid w:val="23847BCB"/>
    <w:rsid w:val="24341C5C"/>
    <w:rsid w:val="24357EE2"/>
    <w:rsid w:val="25445C0D"/>
    <w:rsid w:val="25827BEC"/>
    <w:rsid w:val="25976661"/>
    <w:rsid w:val="25AE4E31"/>
    <w:rsid w:val="26136578"/>
    <w:rsid w:val="2631565C"/>
    <w:rsid w:val="26510FD4"/>
    <w:rsid w:val="268E37D0"/>
    <w:rsid w:val="274572A5"/>
    <w:rsid w:val="276339D3"/>
    <w:rsid w:val="27AB0725"/>
    <w:rsid w:val="27B34A08"/>
    <w:rsid w:val="27E90024"/>
    <w:rsid w:val="282C5F38"/>
    <w:rsid w:val="2840599F"/>
    <w:rsid w:val="28412DAC"/>
    <w:rsid w:val="2865049F"/>
    <w:rsid w:val="28844573"/>
    <w:rsid w:val="28CD2B94"/>
    <w:rsid w:val="28DE0B35"/>
    <w:rsid w:val="28F07F81"/>
    <w:rsid w:val="291A781D"/>
    <w:rsid w:val="291F277F"/>
    <w:rsid w:val="296338D9"/>
    <w:rsid w:val="29D55086"/>
    <w:rsid w:val="29DD50FE"/>
    <w:rsid w:val="29F32451"/>
    <w:rsid w:val="2A266C8F"/>
    <w:rsid w:val="2A2E4992"/>
    <w:rsid w:val="2A342CD2"/>
    <w:rsid w:val="2A5B7CBB"/>
    <w:rsid w:val="2A5D628E"/>
    <w:rsid w:val="2A844EF7"/>
    <w:rsid w:val="2AAF479F"/>
    <w:rsid w:val="2B522706"/>
    <w:rsid w:val="2BC960CA"/>
    <w:rsid w:val="2C416A03"/>
    <w:rsid w:val="2C8A72E4"/>
    <w:rsid w:val="2CC814BC"/>
    <w:rsid w:val="2CDA113A"/>
    <w:rsid w:val="2D002460"/>
    <w:rsid w:val="2D3E27BA"/>
    <w:rsid w:val="2D6251F1"/>
    <w:rsid w:val="2D6F3845"/>
    <w:rsid w:val="2DA200BD"/>
    <w:rsid w:val="2DFE5055"/>
    <w:rsid w:val="2E0D2197"/>
    <w:rsid w:val="2E375A45"/>
    <w:rsid w:val="2E5C17CC"/>
    <w:rsid w:val="2EA32F21"/>
    <w:rsid w:val="2ED272CF"/>
    <w:rsid w:val="2ED32B6C"/>
    <w:rsid w:val="2F5D2C17"/>
    <w:rsid w:val="2F8506DC"/>
    <w:rsid w:val="2F8574DA"/>
    <w:rsid w:val="2FD70D97"/>
    <w:rsid w:val="2FF24E8E"/>
    <w:rsid w:val="300417D3"/>
    <w:rsid w:val="304D122A"/>
    <w:rsid w:val="30702187"/>
    <w:rsid w:val="30732D63"/>
    <w:rsid w:val="307D53F7"/>
    <w:rsid w:val="3126779C"/>
    <w:rsid w:val="312C2C56"/>
    <w:rsid w:val="314D1E5E"/>
    <w:rsid w:val="317E4255"/>
    <w:rsid w:val="31912C1A"/>
    <w:rsid w:val="32283A9C"/>
    <w:rsid w:val="323F5813"/>
    <w:rsid w:val="32963D0B"/>
    <w:rsid w:val="333E0B85"/>
    <w:rsid w:val="33814F8D"/>
    <w:rsid w:val="33882219"/>
    <w:rsid w:val="339E473B"/>
    <w:rsid w:val="33CF4D0C"/>
    <w:rsid w:val="33EE557F"/>
    <w:rsid w:val="34152F5C"/>
    <w:rsid w:val="343E7CCC"/>
    <w:rsid w:val="344D229C"/>
    <w:rsid w:val="34892544"/>
    <w:rsid w:val="34A044B4"/>
    <w:rsid w:val="34F860CC"/>
    <w:rsid w:val="35354ABA"/>
    <w:rsid w:val="35BB3AA2"/>
    <w:rsid w:val="364E57B3"/>
    <w:rsid w:val="368622B2"/>
    <w:rsid w:val="36C572E8"/>
    <w:rsid w:val="36DC6C4A"/>
    <w:rsid w:val="36EB3BA4"/>
    <w:rsid w:val="3726796F"/>
    <w:rsid w:val="37386C54"/>
    <w:rsid w:val="373B67BD"/>
    <w:rsid w:val="3766714B"/>
    <w:rsid w:val="37851E2C"/>
    <w:rsid w:val="37884542"/>
    <w:rsid w:val="37A16D14"/>
    <w:rsid w:val="37B449F3"/>
    <w:rsid w:val="37B840B9"/>
    <w:rsid w:val="38674833"/>
    <w:rsid w:val="38811163"/>
    <w:rsid w:val="38C24422"/>
    <w:rsid w:val="38EA7B5C"/>
    <w:rsid w:val="394D7AFA"/>
    <w:rsid w:val="394E7213"/>
    <w:rsid w:val="395522C3"/>
    <w:rsid w:val="39BB0BDB"/>
    <w:rsid w:val="39F2371E"/>
    <w:rsid w:val="3A5771B8"/>
    <w:rsid w:val="3A726F2E"/>
    <w:rsid w:val="3A850402"/>
    <w:rsid w:val="3AA762A4"/>
    <w:rsid w:val="3AAB10C5"/>
    <w:rsid w:val="3AAD23AF"/>
    <w:rsid w:val="3AB6772C"/>
    <w:rsid w:val="3AD763BB"/>
    <w:rsid w:val="3B1E11DE"/>
    <w:rsid w:val="3B2C2CEE"/>
    <w:rsid w:val="3B497682"/>
    <w:rsid w:val="3B506C62"/>
    <w:rsid w:val="3B69078B"/>
    <w:rsid w:val="3BB527F9"/>
    <w:rsid w:val="3BBA2AA9"/>
    <w:rsid w:val="3BDF3B42"/>
    <w:rsid w:val="3BFD1875"/>
    <w:rsid w:val="3C220EE0"/>
    <w:rsid w:val="3C25238E"/>
    <w:rsid w:val="3CB5502C"/>
    <w:rsid w:val="3CB82D3D"/>
    <w:rsid w:val="3CD62A5B"/>
    <w:rsid w:val="3D4F6AA6"/>
    <w:rsid w:val="3DF12D76"/>
    <w:rsid w:val="3DFC22CF"/>
    <w:rsid w:val="3E1D7DC3"/>
    <w:rsid w:val="3EB42F98"/>
    <w:rsid w:val="3F227AE8"/>
    <w:rsid w:val="3F6B7FF9"/>
    <w:rsid w:val="3F771DBE"/>
    <w:rsid w:val="3FF85455"/>
    <w:rsid w:val="40012822"/>
    <w:rsid w:val="402448E7"/>
    <w:rsid w:val="40AC4E80"/>
    <w:rsid w:val="411B41BC"/>
    <w:rsid w:val="419E7FFC"/>
    <w:rsid w:val="41A63656"/>
    <w:rsid w:val="422608BA"/>
    <w:rsid w:val="422D115A"/>
    <w:rsid w:val="42762E7B"/>
    <w:rsid w:val="4291098B"/>
    <w:rsid w:val="42B41F8B"/>
    <w:rsid w:val="42C07614"/>
    <w:rsid w:val="42ED57F2"/>
    <w:rsid w:val="430A7866"/>
    <w:rsid w:val="432B58BF"/>
    <w:rsid w:val="43BF352D"/>
    <w:rsid w:val="43CA5612"/>
    <w:rsid w:val="43E14EEC"/>
    <w:rsid w:val="44000AFA"/>
    <w:rsid w:val="445350D7"/>
    <w:rsid w:val="445D0A47"/>
    <w:rsid w:val="44947019"/>
    <w:rsid w:val="44EE43A5"/>
    <w:rsid w:val="44F71048"/>
    <w:rsid w:val="45BB117C"/>
    <w:rsid w:val="45F6220D"/>
    <w:rsid w:val="465670F7"/>
    <w:rsid w:val="4698733E"/>
    <w:rsid w:val="473413E0"/>
    <w:rsid w:val="473B0F57"/>
    <w:rsid w:val="47540DDF"/>
    <w:rsid w:val="47627351"/>
    <w:rsid w:val="476F0995"/>
    <w:rsid w:val="479F0BB8"/>
    <w:rsid w:val="47C24DC9"/>
    <w:rsid w:val="48162EA9"/>
    <w:rsid w:val="485D1A85"/>
    <w:rsid w:val="4880208D"/>
    <w:rsid w:val="48D57EB8"/>
    <w:rsid w:val="49132400"/>
    <w:rsid w:val="49457BF2"/>
    <w:rsid w:val="4A1166D7"/>
    <w:rsid w:val="4A5B2731"/>
    <w:rsid w:val="4A6F152E"/>
    <w:rsid w:val="4AED1C9D"/>
    <w:rsid w:val="4B11593D"/>
    <w:rsid w:val="4B814C16"/>
    <w:rsid w:val="4BA6467C"/>
    <w:rsid w:val="4BA960E9"/>
    <w:rsid w:val="4C1B068B"/>
    <w:rsid w:val="4C4F1C92"/>
    <w:rsid w:val="4D1F6E9A"/>
    <w:rsid w:val="4D312982"/>
    <w:rsid w:val="4D5624A8"/>
    <w:rsid w:val="4D7F4ED0"/>
    <w:rsid w:val="4D8B28C8"/>
    <w:rsid w:val="4D8B3C75"/>
    <w:rsid w:val="4DA238A1"/>
    <w:rsid w:val="4E1807F0"/>
    <w:rsid w:val="4E234CA8"/>
    <w:rsid w:val="4E2912D4"/>
    <w:rsid w:val="4E2D61AD"/>
    <w:rsid w:val="4E472389"/>
    <w:rsid w:val="4E67704E"/>
    <w:rsid w:val="4E935F2B"/>
    <w:rsid w:val="4E961A76"/>
    <w:rsid w:val="4E9A7F8B"/>
    <w:rsid w:val="4EE33F7B"/>
    <w:rsid w:val="4F912B39"/>
    <w:rsid w:val="4FD80D17"/>
    <w:rsid w:val="505E63BA"/>
    <w:rsid w:val="5060065E"/>
    <w:rsid w:val="50650662"/>
    <w:rsid w:val="50716B3B"/>
    <w:rsid w:val="50CA0787"/>
    <w:rsid w:val="5167373B"/>
    <w:rsid w:val="51EE3EE4"/>
    <w:rsid w:val="52815D19"/>
    <w:rsid w:val="52AA4E57"/>
    <w:rsid w:val="52DA0F0A"/>
    <w:rsid w:val="53177C0E"/>
    <w:rsid w:val="532C5B84"/>
    <w:rsid w:val="53602217"/>
    <w:rsid w:val="536D17D1"/>
    <w:rsid w:val="53902320"/>
    <w:rsid w:val="53A0341B"/>
    <w:rsid w:val="53E31F77"/>
    <w:rsid w:val="547E3625"/>
    <w:rsid w:val="54E2383E"/>
    <w:rsid w:val="54F62BE9"/>
    <w:rsid w:val="54FF1314"/>
    <w:rsid w:val="553404C9"/>
    <w:rsid w:val="55435822"/>
    <w:rsid w:val="55453E63"/>
    <w:rsid w:val="556C024B"/>
    <w:rsid w:val="55C10AA0"/>
    <w:rsid w:val="572B5731"/>
    <w:rsid w:val="57776CCC"/>
    <w:rsid w:val="5822393B"/>
    <w:rsid w:val="582662AC"/>
    <w:rsid w:val="58373FC8"/>
    <w:rsid w:val="5870229A"/>
    <w:rsid w:val="588718F8"/>
    <w:rsid w:val="58B033EB"/>
    <w:rsid w:val="58E56D52"/>
    <w:rsid w:val="58E61ADD"/>
    <w:rsid w:val="598F06A1"/>
    <w:rsid w:val="59B5223B"/>
    <w:rsid w:val="59C7027B"/>
    <w:rsid w:val="59CA3C9C"/>
    <w:rsid w:val="59D722AF"/>
    <w:rsid w:val="59F5190A"/>
    <w:rsid w:val="5A125727"/>
    <w:rsid w:val="5A1D2B64"/>
    <w:rsid w:val="5A70741A"/>
    <w:rsid w:val="5A73164C"/>
    <w:rsid w:val="5AC65340"/>
    <w:rsid w:val="5ADF05F5"/>
    <w:rsid w:val="5B1F74E7"/>
    <w:rsid w:val="5B583284"/>
    <w:rsid w:val="5B6E2CDB"/>
    <w:rsid w:val="5BA82F01"/>
    <w:rsid w:val="5C0E3323"/>
    <w:rsid w:val="5C8A5233"/>
    <w:rsid w:val="5CE73A8F"/>
    <w:rsid w:val="5CF858EE"/>
    <w:rsid w:val="5D3A3CCF"/>
    <w:rsid w:val="5D883983"/>
    <w:rsid w:val="5D92279B"/>
    <w:rsid w:val="5D9C082F"/>
    <w:rsid w:val="5DA60272"/>
    <w:rsid w:val="5E122AE4"/>
    <w:rsid w:val="5E221430"/>
    <w:rsid w:val="5E263FA8"/>
    <w:rsid w:val="5E56079A"/>
    <w:rsid w:val="5E766D43"/>
    <w:rsid w:val="5EBD1FFA"/>
    <w:rsid w:val="5EDD10CF"/>
    <w:rsid w:val="5F013C07"/>
    <w:rsid w:val="5F8F13BB"/>
    <w:rsid w:val="5FA10F8B"/>
    <w:rsid w:val="5FA40559"/>
    <w:rsid w:val="5FBD0750"/>
    <w:rsid w:val="60274F33"/>
    <w:rsid w:val="60674C0F"/>
    <w:rsid w:val="609901A2"/>
    <w:rsid w:val="609D4E6C"/>
    <w:rsid w:val="60B57526"/>
    <w:rsid w:val="60FC5A2B"/>
    <w:rsid w:val="612C4675"/>
    <w:rsid w:val="613D5084"/>
    <w:rsid w:val="617A7D05"/>
    <w:rsid w:val="61861C6D"/>
    <w:rsid w:val="61991749"/>
    <w:rsid w:val="61EF1454"/>
    <w:rsid w:val="61F028FD"/>
    <w:rsid w:val="62593E90"/>
    <w:rsid w:val="625D23EE"/>
    <w:rsid w:val="62762180"/>
    <w:rsid w:val="62BB2188"/>
    <w:rsid w:val="636613E1"/>
    <w:rsid w:val="636D6878"/>
    <w:rsid w:val="63B42A0B"/>
    <w:rsid w:val="63F16838"/>
    <w:rsid w:val="644F4CA2"/>
    <w:rsid w:val="646870C7"/>
    <w:rsid w:val="64705889"/>
    <w:rsid w:val="6483379B"/>
    <w:rsid w:val="64983DB0"/>
    <w:rsid w:val="64DD6316"/>
    <w:rsid w:val="64F21A84"/>
    <w:rsid w:val="65116BC0"/>
    <w:rsid w:val="656E5F3A"/>
    <w:rsid w:val="659543EC"/>
    <w:rsid w:val="65956D31"/>
    <w:rsid w:val="65F477DC"/>
    <w:rsid w:val="662915B4"/>
    <w:rsid w:val="664803B2"/>
    <w:rsid w:val="668026C2"/>
    <w:rsid w:val="66AE28CE"/>
    <w:rsid w:val="66E520A5"/>
    <w:rsid w:val="670E0FB6"/>
    <w:rsid w:val="675B44A0"/>
    <w:rsid w:val="679460B8"/>
    <w:rsid w:val="67BA25BB"/>
    <w:rsid w:val="67EC69A8"/>
    <w:rsid w:val="680622D3"/>
    <w:rsid w:val="6834217D"/>
    <w:rsid w:val="68371673"/>
    <w:rsid w:val="684319DB"/>
    <w:rsid w:val="685C1262"/>
    <w:rsid w:val="68877912"/>
    <w:rsid w:val="68917F23"/>
    <w:rsid w:val="68A741F3"/>
    <w:rsid w:val="68B01467"/>
    <w:rsid w:val="68B27D65"/>
    <w:rsid w:val="68C1444C"/>
    <w:rsid w:val="68E81B7C"/>
    <w:rsid w:val="691235DF"/>
    <w:rsid w:val="69275EA1"/>
    <w:rsid w:val="69936B6B"/>
    <w:rsid w:val="69BB0BC2"/>
    <w:rsid w:val="69C67F6C"/>
    <w:rsid w:val="69C9231B"/>
    <w:rsid w:val="6A3E7D5B"/>
    <w:rsid w:val="6A755E19"/>
    <w:rsid w:val="6A950992"/>
    <w:rsid w:val="6A9F2827"/>
    <w:rsid w:val="6ABC2982"/>
    <w:rsid w:val="6ABD624D"/>
    <w:rsid w:val="6ADF3B69"/>
    <w:rsid w:val="6AF375F1"/>
    <w:rsid w:val="6B727409"/>
    <w:rsid w:val="6B740248"/>
    <w:rsid w:val="6B814C6A"/>
    <w:rsid w:val="6C2C3763"/>
    <w:rsid w:val="6CB50C86"/>
    <w:rsid w:val="6D6221DE"/>
    <w:rsid w:val="6D771A05"/>
    <w:rsid w:val="6D8B2945"/>
    <w:rsid w:val="6DAA6163"/>
    <w:rsid w:val="6DAC3B9B"/>
    <w:rsid w:val="6DE22E9A"/>
    <w:rsid w:val="6E287565"/>
    <w:rsid w:val="6E401CB4"/>
    <w:rsid w:val="6E734396"/>
    <w:rsid w:val="6EBB171C"/>
    <w:rsid w:val="6EDC1C75"/>
    <w:rsid w:val="705708DB"/>
    <w:rsid w:val="70BD154F"/>
    <w:rsid w:val="70E37655"/>
    <w:rsid w:val="70F25569"/>
    <w:rsid w:val="71067154"/>
    <w:rsid w:val="718325CE"/>
    <w:rsid w:val="719A5DCE"/>
    <w:rsid w:val="71B9344F"/>
    <w:rsid w:val="71D421FA"/>
    <w:rsid w:val="71EE2147"/>
    <w:rsid w:val="71FB09CF"/>
    <w:rsid w:val="72215816"/>
    <w:rsid w:val="72312642"/>
    <w:rsid w:val="728B1018"/>
    <w:rsid w:val="729C3DAA"/>
    <w:rsid w:val="72F83160"/>
    <w:rsid w:val="73272359"/>
    <w:rsid w:val="73EC35D1"/>
    <w:rsid w:val="73F92CEC"/>
    <w:rsid w:val="7439758C"/>
    <w:rsid w:val="745349B6"/>
    <w:rsid w:val="74710DAF"/>
    <w:rsid w:val="74BB290E"/>
    <w:rsid w:val="75006B73"/>
    <w:rsid w:val="750A578F"/>
    <w:rsid w:val="75426065"/>
    <w:rsid w:val="75AE53E0"/>
    <w:rsid w:val="75D56B0D"/>
    <w:rsid w:val="75FA786C"/>
    <w:rsid w:val="760E6132"/>
    <w:rsid w:val="76206C56"/>
    <w:rsid w:val="763629E2"/>
    <w:rsid w:val="764928A0"/>
    <w:rsid w:val="76555C6F"/>
    <w:rsid w:val="76B77A7D"/>
    <w:rsid w:val="76BB697E"/>
    <w:rsid w:val="76C51C18"/>
    <w:rsid w:val="76EB04A0"/>
    <w:rsid w:val="77B474A2"/>
    <w:rsid w:val="780C4767"/>
    <w:rsid w:val="782716BA"/>
    <w:rsid w:val="78580A05"/>
    <w:rsid w:val="78734A44"/>
    <w:rsid w:val="78996BD2"/>
    <w:rsid w:val="789B7A38"/>
    <w:rsid w:val="78A74CC3"/>
    <w:rsid w:val="78D01EAC"/>
    <w:rsid w:val="78E13546"/>
    <w:rsid w:val="797A7C24"/>
    <w:rsid w:val="797C13B8"/>
    <w:rsid w:val="79825C33"/>
    <w:rsid w:val="799E3DA6"/>
    <w:rsid w:val="79AD7678"/>
    <w:rsid w:val="79C70258"/>
    <w:rsid w:val="79F07A78"/>
    <w:rsid w:val="7A180C01"/>
    <w:rsid w:val="7A433743"/>
    <w:rsid w:val="7A8B72AB"/>
    <w:rsid w:val="7A9745C1"/>
    <w:rsid w:val="7A9D6AC7"/>
    <w:rsid w:val="7ADE6B49"/>
    <w:rsid w:val="7AFB03D8"/>
    <w:rsid w:val="7B0F7299"/>
    <w:rsid w:val="7B1C7F78"/>
    <w:rsid w:val="7B4707E1"/>
    <w:rsid w:val="7B5E0897"/>
    <w:rsid w:val="7B682FA7"/>
    <w:rsid w:val="7B78237B"/>
    <w:rsid w:val="7BA82534"/>
    <w:rsid w:val="7BC66E02"/>
    <w:rsid w:val="7C3810A9"/>
    <w:rsid w:val="7C4F5A37"/>
    <w:rsid w:val="7C9106EB"/>
    <w:rsid w:val="7CFB5D27"/>
    <w:rsid w:val="7CFC5143"/>
    <w:rsid w:val="7D016009"/>
    <w:rsid w:val="7D0C38B8"/>
    <w:rsid w:val="7D4B3069"/>
    <w:rsid w:val="7E1F293D"/>
    <w:rsid w:val="7E270891"/>
    <w:rsid w:val="7E2931C9"/>
    <w:rsid w:val="7E8D44C5"/>
    <w:rsid w:val="7EBF0D00"/>
    <w:rsid w:val="7EC34FC3"/>
    <w:rsid w:val="7F076C05"/>
    <w:rsid w:val="7F0974E4"/>
    <w:rsid w:val="7FA93818"/>
    <w:rsid w:val="7FCF46CA"/>
    <w:rsid w:val="7FE142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qFormat="1" w:unhideWhenUsed="0" w:uiPriority="99" w:semiHidden="0"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qFormat="1"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imes New Roman" w:hAnsi="Times New Roman" w:eastAsia="仿宋" w:cstheme="minorBidi"/>
      <w:kern w:val="2"/>
      <w:sz w:val="24"/>
      <w:szCs w:val="22"/>
      <w:lang w:val="en-US" w:eastAsia="zh-CN" w:bidi="ar-SA"/>
    </w:rPr>
  </w:style>
  <w:style w:type="paragraph" w:styleId="2">
    <w:name w:val="heading 1"/>
    <w:basedOn w:val="1"/>
    <w:next w:val="1"/>
    <w:link w:val="79"/>
    <w:qFormat/>
    <w:uiPriority w:val="1"/>
    <w:pPr>
      <w:keepNext/>
      <w:keepLines/>
      <w:spacing w:before="120" w:after="120" w:line="240" w:lineRule="auto"/>
      <w:outlineLvl w:val="0"/>
    </w:pPr>
    <w:rPr>
      <w:rFonts w:eastAsia="黑体" w:cs="Times New Roman"/>
      <w:bCs/>
      <w:kern w:val="44"/>
      <w:szCs w:val="44"/>
    </w:rPr>
  </w:style>
  <w:style w:type="paragraph" w:styleId="3">
    <w:name w:val="heading 2"/>
    <w:basedOn w:val="1"/>
    <w:next w:val="1"/>
    <w:link w:val="34"/>
    <w:qFormat/>
    <w:uiPriority w:val="1"/>
    <w:pPr>
      <w:keepNext/>
      <w:keepLines/>
      <w:spacing w:before="50" w:beforeLines="50" w:after="50" w:afterLines="50"/>
      <w:ind w:firstLine="720" w:firstLineChars="200"/>
      <w:outlineLvl w:val="1"/>
    </w:pPr>
    <w:rPr>
      <w:rFonts w:cs="Cambria"/>
      <w:b/>
      <w:bCs/>
      <w:kern w:val="0"/>
      <w:szCs w:val="24"/>
    </w:rPr>
  </w:style>
  <w:style w:type="paragraph" w:styleId="4">
    <w:name w:val="heading 3"/>
    <w:basedOn w:val="1"/>
    <w:next w:val="1"/>
    <w:link w:val="80"/>
    <w:qFormat/>
    <w:uiPriority w:val="1"/>
    <w:pPr>
      <w:keepNext/>
      <w:keepLines/>
      <w:ind w:firstLine="720" w:firstLineChars="200"/>
      <w:outlineLvl w:val="2"/>
    </w:pPr>
    <w:rPr>
      <w:rFonts w:cs="宋体"/>
      <w:b/>
      <w:bCs/>
      <w:kern w:val="0"/>
      <w:szCs w:val="24"/>
    </w:rPr>
  </w:style>
  <w:style w:type="paragraph" w:styleId="5">
    <w:name w:val="heading 4"/>
    <w:basedOn w:val="1"/>
    <w:next w:val="1"/>
    <w:link w:val="36"/>
    <w:qFormat/>
    <w:uiPriority w:val="1"/>
    <w:pPr>
      <w:keepNext/>
      <w:keepLines/>
      <w:spacing w:line="376" w:lineRule="atLeast"/>
      <w:outlineLvl w:val="3"/>
    </w:pPr>
    <w:rPr>
      <w:rFonts w:cs="Cambria"/>
      <w:b/>
      <w:bCs/>
      <w:kern w:val="0"/>
      <w:szCs w:val="28"/>
    </w:rPr>
  </w:style>
  <w:style w:type="paragraph" w:styleId="6">
    <w:name w:val="heading 5"/>
    <w:basedOn w:val="1"/>
    <w:next w:val="1"/>
    <w:link w:val="37"/>
    <w:qFormat/>
    <w:uiPriority w:val="0"/>
    <w:pPr>
      <w:keepNext/>
      <w:keepLines/>
      <w:numPr>
        <w:ilvl w:val="4"/>
        <w:numId w:val="1"/>
      </w:numPr>
      <w:spacing w:before="280" w:after="290" w:line="376" w:lineRule="atLeast"/>
      <w:outlineLvl w:val="4"/>
    </w:pPr>
    <w:rPr>
      <w:rFonts w:ascii="Calibri" w:hAnsi="Calibri" w:eastAsia="宋体" w:cs="Times New Roman"/>
      <w:b/>
      <w:bCs/>
      <w:kern w:val="0"/>
      <w:sz w:val="28"/>
      <w:szCs w:val="28"/>
    </w:rPr>
  </w:style>
  <w:style w:type="paragraph" w:styleId="7">
    <w:name w:val="heading 6"/>
    <w:basedOn w:val="1"/>
    <w:next w:val="1"/>
    <w:link w:val="38"/>
    <w:qFormat/>
    <w:uiPriority w:val="0"/>
    <w:pPr>
      <w:keepNext/>
      <w:keepLines/>
      <w:numPr>
        <w:ilvl w:val="5"/>
        <w:numId w:val="1"/>
      </w:numPr>
      <w:spacing w:before="240" w:after="64" w:line="320" w:lineRule="atLeast"/>
      <w:outlineLvl w:val="5"/>
    </w:pPr>
    <w:rPr>
      <w:rFonts w:ascii="Cambria" w:hAnsi="Cambria" w:eastAsia="宋体" w:cs="Cambria"/>
      <w:b/>
      <w:bCs/>
      <w:kern w:val="0"/>
      <w:szCs w:val="24"/>
    </w:rPr>
  </w:style>
  <w:style w:type="paragraph" w:styleId="8">
    <w:name w:val="heading 7"/>
    <w:basedOn w:val="1"/>
    <w:next w:val="1"/>
    <w:link w:val="39"/>
    <w:qFormat/>
    <w:uiPriority w:val="0"/>
    <w:pPr>
      <w:keepNext/>
      <w:keepLines/>
      <w:numPr>
        <w:ilvl w:val="6"/>
        <w:numId w:val="1"/>
      </w:numPr>
      <w:spacing w:before="240" w:after="64" w:line="320" w:lineRule="atLeast"/>
      <w:outlineLvl w:val="6"/>
    </w:pPr>
    <w:rPr>
      <w:rFonts w:ascii="Calibri" w:hAnsi="Calibri" w:eastAsia="宋体" w:cs="Times New Roman"/>
      <w:b/>
      <w:bCs/>
      <w:kern w:val="0"/>
      <w:szCs w:val="24"/>
    </w:rPr>
  </w:style>
  <w:style w:type="paragraph" w:styleId="9">
    <w:name w:val="heading 8"/>
    <w:basedOn w:val="1"/>
    <w:next w:val="1"/>
    <w:link w:val="40"/>
    <w:qFormat/>
    <w:uiPriority w:val="0"/>
    <w:pPr>
      <w:keepNext/>
      <w:keepLines/>
      <w:numPr>
        <w:ilvl w:val="7"/>
        <w:numId w:val="1"/>
      </w:numPr>
      <w:spacing w:before="240" w:after="64" w:line="320" w:lineRule="atLeast"/>
      <w:outlineLvl w:val="7"/>
    </w:pPr>
    <w:rPr>
      <w:rFonts w:ascii="Cambria" w:hAnsi="Cambria" w:eastAsia="宋体" w:cs="Cambria"/>
      <w:kern w:val="0"/>
      <w:szCs w:val="24"/>
    </w:rPr>
  </w:style>
  <w:style w:type="paragraph" w:styleId="10">
    <w:name w:val="heading 9"/>
    <w:basedOn w:val="1"/>
    <w:next w:val="1"/>
    <w:link w:val="41"/>
    <w:qFormat/>
    <w:uiPriority w:val="0"/>
    <w:pPr>
      <w:keepNext/>
      <w:keepLines/>
      <w:numPr>
        <w:ilvl w:val="8"/>
        <w:numId w:val="1"/>
      </w:numPr>
      <w:spacing w:before="240" w:after="64" w:line="320" w:lineRule="atLeast"/>
      <w:outlineLvl w:val="8"/>
    </w:pPr>
    <w:rPr>
      <w:rFonts w:ascii="Cambria" w:hAnsi="Cambria" w:eastAsia="宋体" w:cs="Cambria"/>
      <w:kern w:val="0"/>
      <w:sz w:val="20"/>
      <w:szCs w:val="20"/>
    </w:rPr>
  </w:style>
  <w:style w:type="character" w:default="1" w:styleId="28">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11">
    <w:name w:val="caption"/>
    <w:basedOn w:val="1"/>
    <w:next w:val="1"/>
    <w:unhideWhenUsed/>
    <w:qFormat/>
    <w:uiPriority w:val="35"/>
    <w:rPr>
      <w:rFonts w:eastAsia="黑体" w:asciiTheme="majorHAnsi" w:hAnsiTheme="majorHAnsi" w:cstheme="majorBidi"/>
      <w:sz w:val="20"/>
      <w:szCs w:val="20"/>
    </w:rPr>
  </w:style>
  <w:style w:type="paragraph" w:styleId="12">
    <w:name w:val="annotation text"/>
    <w:basedOn w:val="1"/>
    <w:link w:val="48"/>
    <w:unhideWhenUsed/>
    <w:qFormat/>
    <w:uiPriority w:val="99"/>
    <w:pPr>
      <w:spacing w:line="240" w:lineRule="auto"/>
      <w:jc w:val="left"/>
    </w:pPr>
    <w:rPr>
      <w:rFonts w:asciiTheme="minorHAnsi" w:hAnsiTheme="minorHAnsi" w:eastAsiaTheme="minorEastAsia"/>
      <w:sz w:val="21"/>
    </w:rPr>
  </w:style>
  <w:style w:type="paragraph" w:styleId="13">
    <w:name w:val="Body Text"/>
    <w:basedOn w:val="1"/>
    <w:link w:val="57"/>
    <w:qFormat/>
    <w:uiPriority w:val="1"/>
    <w:pPr>
      <w:spacing w:before="21" w:line="240" w:lineRule="auto"/>
      <w:ind w:left="120"/>
      <w:jc w:val="left"/>
    </w:pPr>
    <w:rPr>
      <w:rFonts w:ascii="宋体" w:hAnsi="宋体" w:eastAsia="宋体"/>
      <w:kern w:val="0"/>
      <w:sz w:val="21"/>
      <w:szCs w:val="21"/>
      <w:lang w:eastAsia="en-US"/>
    </w:rPr>
  </w:style>
  <w:style w:type="paragraph" w:styleId="14">
    <w:name w:val="toc 3"/>
    <w:basedOn w:val="1"/>
    <w:next w:val="1"/>
    <w:autoRedefine/>
    <w:unhideWhenUsed/>
    <w:qFormat/>
    <w:uiPriority w:val="39"/>
    <w:pPr>
      <w:spacing w:line="240" w:lineRule="auto"/>
      <w:ind w:left="840" w:leftChars="400"/>
    </w:pPr>
    <w:rPr>
      <w:sz w:val="21"/>
    </w:rPr>
  </w:style>
  <w:style w:type="paragraph" w:styleId="15">
    <w:name w:val="Balloon Text"/>
    <w:basedOn w:val="1"/>
    <w:link w:val="49"/>
    <w:semiHidden/>
    <w:unhideWhenUsed/>
    <w:qFormat/>
    <w:uiPriority w:val="99"/>
    <w:pPr>
      <w:spacing w:line="240" w:lineRule="auto"/>
    </w:pPr>
    <w:rPr>
      <w:sz w:val="18"/>
      <w:szCs w:val="18"/>
    </w:rPr>
  </w:style>
  <w:style w:type="paragraph" w:styleId="16">
    <w:name w:val="footer"/>
    <w:basedOn w:val="1"/>
    <w:link w:val="43"/>
    <w:unhideWhenUsed/>
    <w:qFormat/>
    <w:uiPriority w:val="99"/>
    <w:pPr>
      <w:tabs>
        <w:tab w:val="center" w:pos="4153"/>
        <w:tab w:val="right" w:pos="8306"/>
      </w:tabs>
      <w:snapToGrid w:val="0"/>
      <w:jc w:val="left"/>
    </w:pPr>
    <w:rPr>
      <w:sz w:val="18"/>
      <w:szCs w:val="18"/>
    </w:rPr>
  </w:style>
  <w:style w:type="paragraph" w:styleId="17">
    <w:name w:val="header"/>
    <w:basedOn w:val="1"/>
    <w:link w:val="42"/>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autoRedefine/>
    <w:unhideWhenUsed/>
    <w:qFormat/>
    <w:uiPriority w:val="39"/>
    <w:pPr>
      <w:spacing w:line="240" w:lineRule="auto"/>
    </w:pPr>
    <w:rPr>
      <w:rFonts w:eastAsia="黑体"/>
      <w:sz w:val="21"/>
    </w:rPr>
  </w:style>
  <w:style w:type="paragraph" w:styleId="19">
    <w:name w:val="toc 4"/>
    <w:basedOn w:val="1"/>
    <w:next w:val="1"/>
    <w:autoRedefine/>
    <w:unhideWhenUsed/>
    <w:qFormat/>
    <w:uiPriority w:val="39"/>
    <w:pPr>
      <w:ind w:left="1260" w:leftChars="600"/>
    </w:pPr>
  </w:style>
  <w:style w:type="paragraph" w:styleId="20">
    <w:name w:val="List"/>
    <w:basedOn w:val="1"/>
    <w:semiHidden/>
    <w:unhideWhenUsed/>
    <w:qFormat/>
    <w:uiPriority w:val="99"/>
    <w:pPr>
      <w:ind w:left="200" w:hanging="200" w:hangingChars="200"/>
      <w:contextualSpacing/>
    </w:pPr>
  </w:style>
  <w:style w:type="paragraph" w:styleId="21">
    <w:name w:val="footnote text"/>
    <w:basedOn w:val="1"/>
    <w:link w:val="44"/>
    <w:qFormat/>
    <w:uiPriority w:val="0"/>
    <w:pPr>
      <w:snapToGrid w:val="0"/>
      <w:jc w:val="left"/>
    </w:pPr>
    <w:rPr>
      <w:rFonts w:eastAsia="宋体" w:cs="Times New Roman"/>
      <w:sz w:val="18"/>
      <w:szCs w:val="18"/>
    </w:rPr>
  </w:style>
  <w:style w:type="paragraph" w:styleId="22">
    <w:name w:val="toc 2"/>
    <w:basedOn w:val="1"/>
    <w:next w:val="1"/>
    <w:autoRedefine/>
    <w:unhideWhenUsed/>
    <w:qFormat/>
    <w:uiPriority w:val="39"/>
    <w:pPr>
      <w:spacing w:line="240" w:lineRule="auto"/>
      <w:ind w:left="420" w:leftChars="200"/>
    </w:pPr>
    <w:rPr>
      <w:sz w:val="21"/>
    </w:rPr>
  </w:style>
  <w:style w:type="paragraph" w:styleId="23">
    <w:name w:val="Normal (Web)"/>
    <w:basedOn w:val="1"/>
    <w:unhideWhenUsed/>
    <w:qFormat/>
    <w:uiPriority w:val="99"/>
    <w:pPr>
      <w:widowControl/>
      <w:spacing w:before="100" w:beforeAutospacing="1" w:after="100" w:afterAutospacing="1"/>
      <w:jc w:val="left"/>
    </w:pPr>
    <w:rPr>
      <w:rFonts w:ascii="宋体" w:hAnsi="宋体" w:eastAsia="宋体" w:cs="宋体"/>
      <w:kern w:val="0"/>
      <w:szCs w:val="24"/>
    </w:rPr>
  </w:style>
  <w:style w:type="paragraph" w:styleId="24">
    <w:name w:val="annotation subject"/>
    <w:basedOn w:val="12"/>
    <w:next w:val="12"/>
    <w:link w:val="50"/>
    <w:semiHidden/>
    <w:unhideWhenUsed/>
    <w:qFormat/>
    <w:uiPriority w:val="99"/>
    <w:pPr>
      <w:spacing w:line="360" w:lineRule="auto"/>
    </w:pPr>
    <w:rPr>
      <w:rFonts w:ascii="Times New Roman" w:hAnsi="Times New Roman" w:eastAsia="仿宋"/>
      <w:b/>
      <w:bCs/>
      <w:sz w:val="24"/>
    </w:rPr>
  </w:style>
  <w:style w:type="table" w:styleId="26">
    <w:name w:val="Table Grid"/>
    <w:basedOn w:val="2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7">
    <w:name w:val="Light Shading"/>
    <w:basedOn w:val="25"/>
    <w:qFormat/>
    <w:uiPriority w:val="60"/>
    <w:rPr>
      <w:rFonts w:asciiTheme="minorHAnsi" w:hAnsiTheme="minorHAnsi" w:eastAsiaTheme="minorEastAsia"/>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character" w:styleId="29">
    <w:name w:val="Strong"/>
    <w:basedOn w:val="28"/>
    <w:qFormat/>
    <w:uiPriority w:val="22"/>
    <w:rPr>
      <w:b/>
    </w:rPr>
  </w:style>
  <w:style w:type="character" w:styleId="30">
    <w:name w:val="Hyperlink"/>
    <w:basedOn w:val="28"/>
    <w:unhideWhenUsed/>
    <w:qFormat/>
    <w:uiPriority w:val="99"/>
    <w:rPr>
      <w:color w:val="0563C1" w:themeColor="hyperlink"/>
      <w:u w:val="single"/>
      <w14:textFill>
        <w14:solidFill>
          <w14:schemeClr w14:val="hlink"/>
        </w14:solidFill>
      </w14:textFill>
    </w:rPr>
  </w:style>
  <w:style w:type="character" w:styleId="31">
    <w:name w:val="annotation reference"/>
    <w:basedOn w:val="28"/>
    <w:semiHidden/>
    <w:unhideWhenUsed/>
    <w:qFormat/>
    <w:uiPriority w:val="99"/>
    <w:rPr>
      <w:sz w:val="21"/>
      <w:szCs w:val="21"/>
    </w:rPr>
  </w:style>
  <w:style w:type="character" w:styleId="32">
    <w:name w:val="footnote reference"/>
    <w:basedOn w:val="28"/>
    <w:qFormat/>
    <w:uiPriority w:val="99"/>
    <w:rPr>
      <w:vertAlign w:val="superscript"/>
    </w:rPr>
  </w:style>
  <w:style w:type="character" w:customStyle="1" w:styleId="33">
    <w:name w:val="标题 1 字符"/>
    <w:basedOn w:val="28"/>
    <w:qFormat/>
    <w:uiPriority w:val="9"/>
    <w:rPr>
      <w:rFonts w:eastAsia="黑体" w:cs="Times New Roman"/>
      <w:bCs/>
      <w:kern w:val="44"/>
      <w:szCs w:val="44"/>
    </w:rPr>
  </w:style>
  <w:style w:type="character" w:customStyle="1" w:styleId="34">
    <w:name w:val="标题 2 字符"/>
    <w:basedOn w:val="28"/>
    <w:link w:val="3"/>
    <w:qFormat/>
    <w:uiPriority w:val="9"/>
    <w:rPr>
      <w:rFonts w:eastAsia="仿宋" w:cs="Cambria"/>
      <w:b/>
      <w:bCs/>
      <w:kern w:val="0"/>
      <w:sz w:val="24"/>
      <w:szCs w:val="24"/>
    </w:rPr>
  </w:style>
  <w:style w:type="character" w:customStyle="1" w:styleId="35">
    <w:name w:val="标题 3 字符"/>
    <w:basedOn w:val="28"/>
    <w:qFormat/>
    <w:uiPriority w:val="9"/>
    <w:rPr>
      <w:rFonts w:eastAsia="仿宋" w:cs="宋体"/>
      <w:b/>
      <w:bCs/>
      <w:kern w:val="0"/>
      <w:szCs w:val="24"/>
    </w:rPr>
  </w:style>
  <w:style w:type="character" w:customStyle="1" w:styleId="36">
    <w:name w:val="标题 4 字符"/>
    <w:basedOn w:val="28"/>
    <w:link w:val="5"/>
    <w:qFormat/>
    <w:uiPriority w:val="0"/>
    <w:rPr>
      <w:rFonts w:eastAsia="仿宋" w:cs="Cambria"/>
      <w:b/>
      <w:bCs/>
      <w:kern w:val="0"/>
      <w:szCs w:val="28"/>
    </w:rPr>
  </w:style>
  <w:style w:type="character" w:customStyle="1" w:styleId="37">
    <w:name w:val="标题 5 字符"/>
    <w:basedOn w:val="28"/>
    <w:link w:val="6"/>
    <w:qFormat/>
    <w:uiPriority w:val="0"/>
    <w:rPr>
      <w:rFonts w:ascii="Calibri" w:hAnsi="Calibri" w:cs="Times New Roman"/>
      <w:b/>
      <w:bCs/>
      <w:kern w:val="0"/>
      <w:sz w:val="28"/>
      <w:szCs w:val="28"/>
    </w:rPr>
  </w:style>
  <w:style w:type="character" w:customStyle="1" w:styleId="38">
    <w:name w:val="标题 6 字符"/>
    <w:basedOn w:val="28"/>
    <w:link w:val="7"/>
    <w:qFormat/>
    <w:uiPriority w:val="0"/>
    <w:rPr>
      <w:rFonts w:ascii="Cambria" w:hAnsi="Cambria" w:cs="Cambria"/>
      <w:b/>
      <w:bCs/>
      <w:kern w:val="0"/>
      <w:szCs w:val="24"/>
    </w:rPr>
  </w:style>
  <w:style w:type="character" w:customStyle="1" w:styleId="39">
    <w:name w:val="标题 7 字符"/>
    <w:basedOn w:val="28"/>
    <w:link w:val="8"/>
    <w:qFormat/>
    <w:uiPriority w:val="0"/>
    <w:rPr>
      <w:rFonts w:ascii="Calibri" w:hAnsi="Calibri" w:cs="Times New Roman"/>
      <w:b/>
      <w:bCs/>
      <w:kern w:val="0"/>
      <w:szCs w:val="24"/>
    </w:rPr>
  </w:style>
  <w:style w:type="character" w:customStyle="1" w:styleId="40">
    <w:name w:val="标题 8 字符"/>
    <w:basedOn w:val="28"/>
    <w:link w:val="9"/>
    <w:qFormat/>
    <w:uiPriority w:val="0"/>
    <w:rPr>
      <w:rFonts w:ascii="Cambria" w:hAnsi="Cambria" w:cs="Cambria"/>
      <w:kern w:val="0"/>
      <w:szCs w:val="24"/>
    </w:rPr>
  </w:style>
  <w:style w:type="character" w:customStyle="1" w:styleId="41">
    <w:name w:val="标题 9 字符"/>
    <w:basedOn w:val="28"/>
    <w:link w:val="10"/>
    <w:qFormat/>
    <w:uiPriority w:val="0"/>
    <w:rPr>
      <w:rFonts w:ascii="Cambria" w:hAnsi="Cambria" w:cs="Cambria"/>
      <w:kern w:val="0"/>
      <w:sz w:val="20"/>
      <w:szCs w:val="20"/>
    </w:rPr>
  </w:style>
  <w:style w:type="character" w:customStyle="1" w:styleId="42">
    <w:name w:val="页眉 字符"/>
    <w:basedOn w:val="28"/>
    <w:link w:val="17"/>
    <w:qFormat/>
    <w:uiPriority w:val="99"/>
    <w:rPr>
      <w:sz w:val="18"/>
      <w:szCs w:val="18"/>
    </w:rPr>
  </w:style>
  <w:style w:type="character" w:customStyle="1" w:styleId="43">
    <w:name w:val="页脚 字符"/>
    <w:basedOn w:val="28"/>
    <w:link w:val="16"/>
    <w:qFormat/>
    <w:uiPriority w:val="99"/>
    <w:rPr>
      <w:sz w:val="18"/>
      <w:szCs w:val="18"/>
    </w:rPr>
  </w:style>
  <w:style w:type="character" w:customStyle="1" w:styleId="44">
    <w:name w:val="脚注文本 字符1"/>
    <w:link w:val="21"/>
    <w:qFormat/>
    <w:uiPriority w:val="0"/>
    <w:rPr>
      <w:rFonts w:cs="Times New Roman"/>
      <w:sz w:val="18"/>
      <w:szCs w:val="18"/>
    </w:rPr>
  </w:style>
  <w:style w:type="character" w:customStyle="1" w:styleId="45">
    <w:name w:val="脚注文本 字符"/>
    <w:basedOn w:val="28"/>
    <w:semiHidden/>
    <w:qFormat/>
    <w:uiPriority w:val="99"/>
    <w:rPr>
      <w:rFonts w:asciiTheme="minorHAnsi" w:hAnsiTheme="minorHAnsi" w:eastAsiaTheme="minorEastAsia"/>
      <w:sz w:val="18"/>
      <w:szCs w:val="18"/>
    </w:rPr>
  </w:style>
  <w:style w:type="paragraph" w:styleId="46">
    <w:name w:val="List Paragraph"/>
    <w:basedOn w:val="1"/>
    <w:qFormat/>
    <w:uiPriority w:val="34"/>
    <w:pPr>
      <w:spacing w:line="380" w:lineRule="exact"/>
      <w:ind w:firstLine="420" w:firstLineChars="200"/>
    </w:pPr>
    <w:rPr>
      <w:rFonts w:ascii="Calibri" w:hAnsi="Calibri" w:eastAsia="宋体" w:cs="Times New Roman"/>
      <w:kern w:val="0"/>
      <w:sz w:val="20"/>
      <w:szCs w:val="20"/>
    </w:rPr>
  </w:style>
  <w:style w:type="table" w:customStyle="1" w:styleId="47">
    <w:name w:val="网格表 1 浅色 - 着色 51"/>
    <w:basedOn w:val="25"/>
    <w:qFormat/>
    <w:uiPriority w:val="46"/>
    <w:rPr>
      <w:rFonts w:asciiTheme="minorHAnsi" w:hAnsiTheme="minorHAnsi" w:eastAsiaTheme="minorEastAsia"/>
      <w:sz w:val="21"/>
    </w:rPr>
    <w:tblPr>
      <w:tblBorders>
        <w:top w:val="single" w:color="B4C6E7" w:themeColor="accent5" w:themeTint="66" w:sz="4" w:space="0"/>
        <w:left w:val="single" w:color="B4C6E7" w:themeColor="accent5" w:themeTint="66" w:sz="4" w:space="0"/>
        <w:bottom w:val="single" w:color="B4C6E7" w:themeColor="accent5" w:themeTint="66" w:sz="4" w:space="0"/>
        <w:right w:val="single" w:color="B4C6E7" w:themeColor="accent5" w:themeTint="66" w:sz="4" w:space="0"/>
        <w:insideH w:val="single" w:color="B4C6E7" w:themeColor="accent5" w:themeTint="66" w:sz="4" w:space="0"/>
        <w:insideV w:val="single" w:color="B4C6E7" w:themeColor="accent5" w:themeTint="66" w:sz="4" w:space="0"/>
      </w:tblBorders>
    </w:tblPr>
    <w:tblStylePr w:type="firstRow">
      <w:rPr>
        <w:b/>
        <w:bCs/>
      </w:rPr>
      <w:tcPr>
        <w:tcBorders>
          <w:bottom w:val="single" w:color="8EAADB" w:themeColor="accent5" w:themeTint="99" w:sz="12" w:space="0"/>
        </w:tcBorders>
      </w:tcPr>
    </w:tblStylePr>
    <w:tblStylePr w:type="lastRow">
      <w:rPr>
        <w:b/>
        <w:bCs/>
      </w:rPr>
      <w:tcPr>
        <w:tcBorders>
          <w:top w:val="double" w:color="8EAADB" w:themeColor="accent5" w:themeTint="99" w:sz="2" w:space="0"/>
        </w:tcBorders>
      </w:tcPr>
    </w:tblStylePr>
    <w:tblStylePr w:type="firstCol">
      <w:rPr>
        <w:b/>
        <w:bCs/>
      </w:rPr>
    </w:tblStylePr>
    <w:tblStylePr w:type="lastCol">
      <w:rPr>
        <w:b/>
        <w:bCs/>
      </w:rPr>
    </w:tblStylePr>
  </w:style>
  <w:style w:type="character" w:customStyle="1" w:styleId="48">
    <w:name w:val="批注文字 字符"/>
    <w:basedOn w:val="28"/>
    <w:link w:val="12"/>
    <w:qFormat/>
    <w:uiPriority w:val="99"/>
    <w:rPr>
      <w:rFonts w:asciiTheme="minorHAnsi" w:hAnsiTheme="minorHAnsi" w:eastAsiaTheme="minorEastAsia"/>
      <w:sz w:val="21"/>
    </w:rPr>
  </w:style>
  <w:style w:type="character" w:customStyle="1" w:styleId="49">
    <w:name w:val="批注框文本 字符"/>
    <w:basedOn w:val="28"/>
    <w:link w:val="15"/>
    <w:semiHidden/>
    <w:qFormat/>
    <w:uiPriority w:val="99"/>
    <w:rPr>
      <w:rFonts w:eastAsia="仿宋"/>
      <w:sz w:val="18"/>
      <w:szCs w:val="18"/>
    </w:rPr>
  </w:style>
  <w:style w:type="character" w:customStyle="1" w:styleId="50">
    <w:name w:val="批注主题 字符"/>
    <w:basedOn w:val="48"/>
    <w:link w:val="24"/>
    <w:semiHidden/>
    <w:qFormat/>
    <w:uiPriority w:val="99"/>
    <w:rPr>
      <w:rFonts w:eastAsia="仿宋" w:asciiTheme="minorHAnsi" w:hAnsiTheme="minorHAnsi"/>
      <w:b/>
      <w:bCs/>
      <w:sz w:val="21"/>
    </w:rPr>
  </w:style>
  <w:style w:type="paragraph" w:customStyle="1" w:styleId="51">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bCs w:val="0"/>
      <w:color w:val="2E75B6" w:themeColor="accent1" w:themeShade="BF"/>
      <w:kern w:val="0"/>
      <w:sz w:val="32"/>
      <w:szCs w:val="32"/>
    </w:rPr>
  </w:style>
  <w:style w:type="paragraph" w:customStyle="1" w:styleId="52">
    <w:name w:val="修订1"/>
    <w:hidden/>
    <w:semiHidden/>
    <w:qFormat/>
    <w:uiPriority w:val="99"/>
    <w:rPr>
      <w:rFonts w:ascii="Times New Roman" w:hAnsi="Times New Roman" w:eastAsia="仿宋" w:cstheme="minorBidi"/>
      <w:kern w:val="2"/>
      <w:sz w:val="24"/>
      <w:szCs w:val="22"/>
      <w:lang w:val="en-US" w:eastAsia="zh-CN" w:bidi="ar-SA"/>
    </w:rPr>
  </w:style>
  <w:style w:type="paragraph" w:customStyle="1" w:styleId="53">
    <w:name w:val="EndNote Bibliography Title"/>
    <w:basedOn w:val="1"/>
    <w:link w:val="54"/>
    <w:qFormat/>
    <w:uiPriority w:val="0"/>
    <w:pPr>
      <w:jc w:val="center"/>
    </w:pPr>
    <w:rPr>
      <w:rFonts w:cs="Times New Roman"/>
    </w:rPr>
  </w:style>
  <w:style w:type="character" w:customStyle="1" w:styleId="54">
    <w:name w:val="EndNote Bibliography Title 字符"/>
    <w:basedOn w:val="44"/>
    <w:link w:val="53"/>
    <w:qFormat/>
    <w:uiPriority w:val="0"/>
    <w:rPr>
      <w:rFonts w:eastAsia="仿宋" w:cs="Times New Roman"/>
      <w:sz w:val="18"/>
      <w:szCs w:val="18"/>
    </w:rPr>
  </w:style>
  <w:style w:type="paragraph" w:customStyle="1" w:styleId="55">
    <w:name w:val="EndNote Bibliography"/>
    <w:basedOn w:val="1"/>
    <w:link w:val="56"/>
    <w:qFormat/>
    <w:uiPriority w:val="0"/>
    <w:pPr>
      <w:spacing w:line="240" w:lineRule="auto"/>
    </w:pPr>
    <w:rPr>
      <w:rFonts w:cs="Times New Roman"/>
    </w:rPr>
  </w:style>
  <w:style w:type="character" w:customStyle="1" w:styleId="56">
    <w:name w:val="EndNote Bibliography 字符"/>
    <w:basedOn w:val="44"/>
    <w:link w:val="55"/>
    <w:qFormat/>
    <w:uiPriority w:val="0"/>
    <w:rPr>
      <w:rFonts w:eastAsia="仿宋" w:cs="Times New Roman"/>
      <w:sz w:val="18"/>
      <w:szCs w:val="18"/>
    </w:rPr>
  </w:style>
  <w:style w:type="character" w:customStyle="1" w:styleId="57">
    <w:name w:val="正文文本 字符"/>
    <w:basedOn w:val="28"/>
    <w:link w:val="13"/>
    <w:qFormat/>
    <w:uiPriority w:val="1"/>
    <w:rPr>
      <w:rFonts w:ascii="宋体" w:hAnsi="宋体"/>
      <w:kern w:val="0"/>
      <w:sz w:val="21"/>
      <w:szCs w:val="21"/>
      <w:lang w:eastAsia="en-US"/>
    </w:rPr>
  </w:style>
  <w:style w:type="paragraph" w:customStyle="1" w:styleId="58">
    <w:name w:val="列表段落1"/>
    <w:basedOn w:val="1"/>
    <w:qFormat/>
    <w:uiPriority w:val="34"/>
    <w:pPr>
      <w:spacing w:line="240" w:lineRule="auto"/>
      <w:ind w:firstLine="420" w:firstLineChars="200"/>
    </w:pPr>
    <w:rPr>
      <w:rFonts w:ascii="Calibri" w:hAnsi="Calibri" w:eastAsia="宋体" w:cs="黑体"/>
      <w:sz w:val="21"/>
    </w:rPr>
  </w:style>
  <w:style w:type="paragraph" w:customStyle="1" w:styleId="59">
    <w:name w:val="标准文件_章标题"/>
    <w:next w:val="60"/>
    <w:qFormat/>
    <w:uiPriority w:val="0"/>
    <w:p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60">
    <w:name w:val="标准文件_段"/>
    <w:link w:val="61"/>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61">
    <w:name w:val="标准文件_段 Char"/>
    <w:link w:val="60"/>
    <w:qFormat/>
    <w:uiPriority w:val="0"/>
    <w:rPr>
      <w:rFonts w:ascii="宋体" w:cs="Times New Roman"/>
      <w:kern w:val="0"/>
      <w:sz w:val="21"/>
      <w:szCs w:val="20"/>
    </w:rPr>
  </w:style>
  <w:style w:type="paragraph" w:customStyle="1" w:styleId="62">
    <w:name w:val="标准文件_一级条标题"/>
    <w:basedOn w:val="59"/>
    <w:next w:val="60"/>
    <w:qFormat/>
    <w:uiPriority w:val="0"/>
    <w:pPr>
      <w:spacing w:before="50" w:beforeLines="50" w:after="50" w:afterLines="50"/>
      <w:outlineLvl w:val="1"/>
    </w:pPr>
  </w:style>
  <w:style w:type="paragraph" w:customStyle="1" w:styleId="63">
    <w:name w:val="标准文件_正文表标题"/>
    <w:next w:val="60"/>
    <w:qFormat/>
    <w:uiPriority w:val="0"/>
    <w:p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64">
    <w:name w:val="标准文件_表格"/>
    <w:basedOn w:val="60"/>
    <w:qFormat/>
    <w:uiPriority w:val="0"/>
    <w:pPr>
      <w:ind w:firstLine="0" w:firstLineChars="0"/>
      <w:jc w:val="center"/>
    </w:pPr>
    <w:rPr>
      <w:sz w:val="18"/>
    </w:rPr>
  </w:style>
  <w:style w:type="paragraph" w:customStyle="1" w:styleId="65">
    <w:name w:val="标准文件_附录标识"/>
    <w:next w:val="60"/>
    <w:qFormat/>
    <w:uiPriority w:val="0"/>
    <w:p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table" w:customStyle="1" w:styleId="66">
    <w:name w:val="Table Normal"/>
    <w:semiHidden/>
    <w:unhideWhenUsed/>
    <w:qFormat/>
    <w:uiPriority w:val="2"/>
    <w:pPr>
      <w:widowControl w:val="0"/>
    </w:pPr>
    <w:rPr>
      <w:rFonts w:asciiTheme="minorHAnsi" w:hAnsiTheme="minorHAnsi" w:eastAsiaTheme="minorEastAsia"/>
      <w:sz w:val="22"/>
      <w:lang w:eastAsia="en-US"/>
    </w:rPr>
    <w:tblPr>
      <w:tblCellMar>
        <w:top w:w="0" w:type="dxa"/>
        <w:left w:w="0" w:type="dxa"/>
        <w:bottom w:w="0" w:type="dxa"/>
        <w:right w:w="0" w:type="dxa"/>
      </w:tblCellMar>
    </w:tblPr>
  </w:style>
  <w:style w:type="paragraph" w:customStyle="1" w:styleId="67">
    <w:name w:val="Table Paragraph"/>
    <w:basedOn w:val="1"/>
    <w:qFormat/>
    <w:uiPriority w:val="1"/>
    <w:pPr>
      <w:spacing w:line="240" w:lineRule="auto"/>
      <w:jc w:val="left"/>
    </w:pPr>
    <w:rPr>
      <w:rFonts w:asciiTheme="minorHAnsi" w:hAnsiTheme="minorHAnsi" w:eastAsiaTheme="minorEastAsia"/>
      <w:kern w:val="0"/>
      <w:sz w:val="22"/>
      <w:lang w:eastAsia="en-US"/>
    </w:rPr>
  </w:style>
  <w:style w:type="table" w:customStyle="1" w:styleId="68">
    <w:name w:val="无格式表格 31"/>
    <w:basedOn w:val="25"/>
    <w:qFormat/>
    <w:uiPriority w:val="43"/>
    <w:rPr>
      <w:iCs/>
      <w:color w:val="000000"/>
      <w:szCs w:val="36"/>
    </w:rPr>
    <w:tblStylePr w:type="firstRow">
      <w:rPr>
        <w:b/>
        <w:bCs/>
        <w:caps/>
      </w:rPr>
      <w:tcPr>
        <w:tcBorders>
          <w:bottom w:val="single" w:color="7E7E7E" w:themeColor="text1" w:themeTint="80" w:sz="4" w:space="0"/>
        </w:tcBorders>
      </w:tcPr>
    </w:tblStylePr>
    <w:tblStylePr w:type="lastRow">
      <w:rPr>
        <w:b/>
        <w:bCs/>
        <w:caps/>
      </w:rPr>
      <w:tcPr>
        <w:tcBorders>
          <w:top w:val="nil"/>
        </w:tcBorders>
      </w:tcPr>
    </w:tblStylePr>
    <w:tblStylePr w:type="firstCol">
      <w:rPr>
        <w:b/>
        <w:bCs/>
        <w:caps/>
      </w:rPr>
      <w:tcPr>
        <w:tcBorders>
          <w:right w:val="single" w:color="7E7E7E" w:themeColor="text1" w:themeTint="80" w:sz="4" w:space="0"/>
        </w:tcBorders>
      </w:tcPr>
    </w:tblStylePr>
    <w:tblStylePr w:type="lastCol">
      <w:rPr>
        <w:b/>
        <w:bCs/>
        <w:caps/>
      </w:rPr>
      <w:tcPr>
        <w:tcBorders>
          <w:left w:val="nil"/>
        </w:tcBorders>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style>
  <w:style w:type="character" w:styleId="69">
    <w:name w:val="Placeholder Text"/>
    <w:basedOn w:val="28"/>
    <w:semiHidden/>
    <w:qFormat/>
    <w:uiPriority w:val="99"/>
    <w:rPr>
      <w:color w:val="808080"/>
    </w:rPr>
  </w:style>
  <w:style w:type="paragraph" w:customStyle="1" w:styleId="70">
    <w:name w:val="TOC 标题1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Cs w:val="0"/>
      <w:color w:val="2E75B6" w:themeColor="accent1" w:themeShade="BF"/>
      <w:kern w:val="0"/>
      <w:sz w:val="32"/>
      <w:szCs w:val="32"/>
    </w:rPr>
  </w:style>
  <w:style w:type="table" w:customStyle="1" w:styleId="71">
    <w:name w:val="网格型1"/>
    <w:basedOn w:val="2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
    <w:name w:val="网格型3"/>
    <w:basedOn w:val="2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
    <w:name w:val="网格型76"/>
    <w:basedOn w:val="25"/>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74">
    <w:name w:val="清单表 6 彩色 - 着色 11"/>
    <w:basedOn w:val="25"/>
    <w:qFormat/>
    <w:uiPriority w:val="51"/>
    <w:rPr>
      <w:color w:val="2E75B6" w:themeColor="accent1" w:themeShade="BF"/>
    </w:rPr>
    <w:tblPr>
      <w:tblBorders>
        <w:top w:val="single" w:color="5B9BD5" w:themeColor="accent1" w:sz="4" w:space="0"/>
        <w:bottom w:val="single" w:color="5B9BD5" w:themeColor="accent1" w:sz="4" w:space="0"/>
      </w:tblBorders>
    </w:tblPr>
    <w:tblStylePr w:type="firstRow">
      <w:rPr>
        <w:b/>
        <w:bCs/>
      </w:rPr>
      <w:tcPr>
        <w:tcBorders>
          <w:bottom w:val="single" w:color="5B9BD5" w:themeColor="accent1" w:sz="4" w:space="0"/>
        </w:tcBorders>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75">
    <w:name w:val="网格型7611"/>
    <w:basedOn w:val="25"/>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6">
    <w:name w:val="No Spacing"/>
    <w:basedOn w:val="20"/>
    <w:autoRedefine/>
    <w:qFormat/>
    <w:uiPriority w:val="1"/>
    <w:pPr>
      <w:adjustRightInd w:val="0"/>
      <w:snapToGrid w:val="0"/>
      <w:ind w:left="0" w:firstLine="0" w:firstLineChars="0"/>
      <w:jc w:val="center"/>
    </w:pPr>
    <w:rPr>
      <w:rFonts w:cs="Times New Roman"/>
      <w:szCs w:val="24"/>
    </w:rPr>
  </w:style>
  <w:style w:type="table" w:customStyle="1" w:styleId="77">
    <w:name w:val="网格型7612"/>
    <w:basedOn w:val="25"/>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8">
    <w:name w:val="ds-markdown-paragraph"/>
    <w:basedOn w:val="1"/>
    <w:qFormat/>
    <w:uiPriority w:val="0"/>
    <w:pPr>
      <w:widowControl/>
      <w:spacing w:beforeAutospacing="1" w:afterAutospacing="1"/>
      <w:jc w:val="left"/>
    </w:pPr>
    <w:rPr>
      <w:rFonts w:hint="eastAsia" w:ascii="宋体" w:hAnsi="宋体" w:eastAsia="宋体" w:cs="Times New Roman"/>
      <w:kern w:val="0"/>
      <w:szCs w:val="24"/>
    </w:rPr>
  </w:style>
  <w:style w:type="character" w:customStyle="1" w:styleId="79">
    <w:name w:val="标题 1 字符1"/>
    <w:basedOn w:val="28"/>
    <w:link w:val="2"/>
    <w:qFormat/>
    <w:uiPriority w:val="0"/>
    <w:rPr>
      <w:rFonts w:hint="eastAsia" w:ascii="宋体" w:hAnsi="宋体" w:eastAsia="宋体" w:cs="宋体"/>
      <w:b/>
      <w:bCs/>
      <w:kern w:val="44"/>
      <w:sz w:val="48"/>
      <w:szCs w:val="48"/>
    </w:rPr>
  </w:style>
  <w:style w:type="character" w:customStyle="1" w:styleId="80">
    <w:name w:val="标题 3 字符1"/>
    <w:basedOn w:val="28"/>
    <w:link w:val="4"/>
    <w:qFormat/>
    <w:uiPriority w:val="0"/>
    <w:rPr>
      <w:rFonts w:hint="eastAsia" w:ascii="宋体" w:hAnsi="宋体" w:eastAsia="仿宋" w:cs="宋体"/>
      <w:b/>
      <w:bCs/>
      <w:sz w:val="27"/>
      <w:szCs w:val="27"/>
    </w:rPr>
  </w:style>
  <w:style w:type="paragraph" w:customStyle="1" w:styleId="81">
    <w:name w:val="修订2"/>
    <w:hidden/>
    <w:semiHidden/>
    <w:qFormat/>
    <w:uiPriority w:val="99"/>
    <w:rPr>
      <w:rFonts w:ascii="Times New Roman" w:hAnsi="Times New Roman" w:eastAsia="仿宋" w:cstheme="minorBidi"/>
      <w:kern w:val="2"/>
      <w:sz w:val="24"/>
      <w:szCs w:val="22"/>
      <w:lang w:val="en-US" w:eastAsia="zh-CN" w:bidi="ar-SA"/>
    </w:rPr>
  </w:style>
  <w:style w:type="paragraph" w:customStyle="1" w:styleId="82">
    <w:name w:val="标准文件_三级无标题"/>
    <w:basedOn w:val="83"/>
    <w:qFormat/>
    <w:uiPriority w:val="0"/>
    <w:pPr>
      <w:spacing w:before="0" w:beforeLines="0" w:after="0" w:afterLines="0"/>
      <w:outlineLvl w:val="9"/>
    </w:pPr>
    <w:rPr>
      <w:rFonts w:ascii="宋体" w:eastAsia="宋体"/>
    </w:rPr>
  </w:style>
  <w:style w:type="paragraph" w:customStyle="1" w:styleId="83">
    <w:name w:val="标准文件_三级条标题"/>
    <w:basedOn w:val="84"/>
    <w:next w:val="60"/>
    <w:qFormat/>
    <w:uiPriority w:val="0"/>
    <w:pPr>
      <w:widowControl/>
      <w:numPr>
        <w:ilvl w:val="4"/>
      </w:numPr>
      <w:outlineLvl w:val="3"/>
    </w:pPr>
  </w:style>
  <w:style w:type="paragraph" w:customStyle="1" w:styleId="84">
    <w:name w:val="标准文件_二级条标题"/>
    <w:next w:val="60"/>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85">
    <w:name w:val="标准文件_一级项"/>
    <w:qFormat/>
    <w:uiPriority w:val="0"/>
    <w:pPr>
      <w:numPr>
        <w:ilvl w:val="0"/>
        <w:numId w:val="3"/>
      </w:numPr>
    </w:pPr>
    <w:rPr>
      <w:rFonts w:ascii="宋体" w:hAnsi="Times New Roman" w:eastAsia="宋体" w:cs="Times New Roman"/>
      <w:sz w:val="21"/>
      <w:lang w:val="en-US" w:eastAsia="zh-CN" w:bidi="ar-SA"/>
    </w:rPr>
  </w:style>
  <w:style w:type="paragraph" w:customStyle="1" w:styleId="86">
    <w:name w:val="标准文件_字母编号列项（一级）"/>
    <w:qFormat/>
    <w:uiPriority w:val="0"/>
    <w:pPr>
      <w:numPr>
        <w:ilvl w:val="0"/>
        <w:numId w:val="4"/>
      </w:numPr>
      <w:jc w:val="both"/>
    </w:pPr>
    <w:rPr>
      <w:rFonts w:ascii="宋体" w:hAnsi="Times New Roman" w:eastAsia="宋体" w:cs="Times New Roman"/>
      <w:sz w:val="21"/>
      <w:lang w:val="en-US" w:eastAsia="zh-CN" w:bidi="ar-SA"/>
    </w:rPr>
  </w:style>
  <w:style w:type="paragraph" w:customStyle="1" w:styleId="87">
    <w:name w:val="标准文件_术语条一"/>
    <w:basedOn w:val="88"/>
    <w:next w:val="60"/>
    <w:qFormat/>
    <w:uiPriority w:val="0"/>
  </w:style>
  <w:style w:type="paragraph" w:customStyle="1" w:styleId="88">
    <w:name w:val="标准文件_一级无标题"/>
    <w:basedOn w:val="62"/>
    <w:qFormat/>
    <w:uiPriority w:val="0"/>
    <w:pPr>
      <w:spacing w:before="0" w:beforeLines="0" w:after="0" w:afterLines="0"/>
      <w:outlineLvl w:val="9"/>
    </w:pPr>
    <w:rPr>
      <w:rFonts w:ascii="宋体" w:eastAsia="宋体"/>
    </w:rPr>
  </w:style>
  <w:style w:type="paragraph" w:customStyle="1" w:styleId="89">
    <w:name w:val="TOC Heading"/>
    <w:basedOn w:val="2"/>
    <w:next w:val="1"/>
    <w:unhideWhenUsed/>
    <w:qFormat/>
    <w:uiPriority w:val="39"/>
    <w:pPr>
      <w:widowControl/>
      <w:spacing w:before="240" w:line="259" w:lineRule="auto"/>
      <w:jc w:val="left"/>
      <w:outlineLvl w:val="9"/>
    </w:pPr>
    <w:rPr>
      <w:rFonts w:asciiTheme="majorHAnsi" w:hAnsiTheme="majorHAnsi" w:eastAsiaTheme="majorEastAsia" w:cstheme="majorBidi"/>
      <w:bCs w:val="0"/>
      <w:color w:val="2E75B6" w:themeColor="accent1" w:themeShade="BF"/>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fontTable" Target="fontTable.xml"/><Relationship Id="rId21" Type="http://schemas.openxmlformats.org/officeDocument/2006/relationships/customXml" Target="../customXml/item4.xml"/><Relationship Id="rId20" Type="http://schemas.openxmlformats.org/officeDocument/2006/relationships/customXml" Target="../customXml/item3.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B09E01-D79D-461F-B0D2-1A9DDDC40556}">
  <ds:schemaRefs/>
</ds:datastoreItem>
</file>

<file path=customXml/itemProps3.xml><?xml version="1.0" encoding="utf-8"?>
<ds:datastoreItem xmlns:ds="http://schemas.openxmlformats.org/officeDocument/2006/customXml" ds:itemID="{BCD560E6-92A2-4085-B5EC-80CBDD7DD82B}">
  <ds:schemaRefs/>
</ds:datastoreItem>
</file>

<file path=customXml/itemProps4.xml><?xml version="1.0" encoding="utf-8"?>
<ds:datastoreItem xmlns:ds="http://schemas.openxmlformats.org/officeDocument/2006/customXml" ds:itemID="{94AFC09C-3AA0-42B1-A8B7-891A05CD9E44}">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20</Pages>
  <Words>16625</Words>
  <Characters>19304</Characters>
  <Lines>277</Lines>
  <Paragraphs>78</Paragraphs>
  <TotalTime>0</TotalTime>
  <ScaleCrop>false</ScaleCrop>
  <LinksUpToDate>false</LinksUpToDate>
  <CharactersWithSpaces>19604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2025-07-08T14:56:00Z</dcterms:created>
  <dc:creator>李莉</dc:creator>
  <cp:lastModifiedBy>zhangsir</cp:lastModifiedBy>
  <cp:lastPrinted>2025-02-25T07:37:00Z</cp:lastPrinted>
  <dcterms:modified xsi:type="dcterms:W3CDTF">2026-04-08T01:39:52Z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11D64BDDF29446F484CEF67DA7CBB20B_13</vt:lpwstr>
  </property>
  <property fmtid="{D5CDD505-2E9C-101B-9397-08002B2CF9AE}" pid="4" name="KSOTemplateDocerSaveRecord">
    <vt:lpwstr>eyJoZGlkIjoiMjFhYjg0NTMzNmMxNzk5NzQ2Nzg2NjkzNDM4OTMzMTQiLCJ1c2VySWQiOiIzMjkzNTA1OTEifQ==</vt:lpwstr>
  </property>
</Properties>
</file>